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AE5" w:rsidRDefault="00901AE5" w:rsidP="00901AE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1</w:t>
      </w:r>
    </w:p>
    <w:p w:rsidR="00901AE5" w:rsidRDefault="00901AE5" w:rsidP="00901AE5">
      <w:pPr>
        <w:jc w:val="right"/>
        <w:rPr>
          <w:b/>
          <w:sz w:val="24"/>
          <w:szCs w:val="24"/>
        </w:rPr>
      </w:pPr>
    </w:p>
    <w:p w:rsidR="00901AE5" w:rsidRPr="00720821" w:rsidRDefault="00901AE5" w:rsidP="00901AE5">
      <w:pPr>
        <w:pStyle w:val="a3"/>
        <w:rPr>
          <w:b w:val="0"/>
          <w:sz w:val="28"/>
          <w:szCs w:val="28"/>
        </w:rPr>
      </w:pPr>
      <w:r w:rsidRPr="00720821">
        <w:rPr>
          <w:b w:val="0"/>
          <w:sz w:val="28"/>
          <w:szCs w:val="28"/>
        </w:rPr>
        <w:t xml:space="preserve">                                                                </w:t>
      </w:r>
      <w:r>
        <w:rPr>
          <w:b w:val="0"/>
          <w:sz w:val="28"/>
          <w:szCs w:val="28"/>
        </w:rPr>
        <w:t xml:space="preserve">                            «</w:t>
      </w:r>
      <w:r w:rsidRPr="00720821">
        <w:rPr>
          <w:b w:val="0"/>
          <w:sz w:val="28"/>
          <w:szCs w:val="28"/>
        </w:rPr>
        <w:t>Утверждено</w:t>
      </w:r>
      <w:r>
        <w:rPr>
          <w:b w:val="0"/>
          <w:sz w:val="28"/>
          <w:szCs w:val="28"/>
        </w:rPr>
        <w:t>»</w:t>
      </w: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  <w:r w:rsidRPr="00720821">
        <w:rPr>
          <w:b/>
          <w:sz w:val="28"/>
          <w:szCs w:val="28"/>
        </w:rPr>
        <w:t xml:space="preserve">                                                                                </w:t>
      </w:r>
      <w:r>
        <w:rPr>
          <w:b/>
          <w:sz w:val="28"/>
          <w:szCs w:val="28"/>
        </w:rPr>
        <w:t xml:space="preserve"> </w:t>
      </w:r>
      <w:r w:rsidRPr="00705B97">
        <w:rPr>
          <w:sz w:val="28"/>
          <w:szCs w:val="28"/>
        </w:rPr>
        <w:t>Н</w:t>
      </w:r>
      <w:r>
        <w:rPr>
          <w:b/>
          <w:sz w:val="24"/>
          <w:szCs w:val="24"/>
        </w:rPr>
        <w:t xml:space="preserve">а заседании </w:t>
      </w:r>
      <w:r w:rsidRPr="00FD78B9">
        <w:rPr>
          <w:b/>
          <w:sz w:val="24"/>
          <w:szCs w:val="24"/>
        </w:rPr>
        <w:t xml:space="preserve"> Правления</w:t>
      </w:r>
    </w:p>
    <w:p w:rsidR="00901AE5" w:rsidRPr="00FD78B9" w:rsidRDefault="00901AE5" w:rsidP="00901A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</w:t>
      </w:r>
      <w:r w:rsidRPr="00FD78B9">
        <w:rPr>
          <w:b/>
          <w:sz w:val="24"/>
          <w:szCs w:val="24"/>
        </w:rPr>
        <w:t>ООО «Камкомбанк»</w:t>
      </w:r>
    </w:p>
    <w:p w:rsidR="00901AE5" w:rsidRDefault="00901AE5" w:rsidP="00901A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D78B9">
        <w:rPr>
          <w:b/>
          <w:sz w:val="24"/>
          <w:szCs w:val="24"/>
        </w:rPr>
        <w:t>Протокол</w:t>
      </w:r>
      <w:r>
        <w:rPr>
          <w:b/>
          <w:sz w:val="24"/>
          <w:szCs w:val="24"/>
        </w:rPr>
        <w:t xml:space="preserve">   № 115   </w:t>
      </w:r>
    </w:p>
    <w:p w:rsidR="00901AE5" w:rsidRPr="00FD78B9" w:rsidRDefault="00901AE5" w:rsidP="00901AE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</w:t>
      </w:r>
      <w:r w:rsidRPr="00FD78B9">
        <w:rPr>
          <w:b/>
          <w:sz w:val="24"/>
          <w:szCs w:val="24"/>
        </w:rPr>
        <w:t>от 31 декабря 2014г.</w:t>
      </w:r>
    </w:p>
    <w:p w:rsidR="00901AE5" w:rsidRPr="00720821" w:rsidRDefault="00901AE5" w:rsidP="00901AE5">
      <w:pPr>
        <w:pStyle w:val="a3"/>
        <w:rPr>
          <w:b w:val="0"/>
          <w:sz w:val="28"/>
          <w:szCs w:val="28"/>
        </w:rPr>
      </w:pPr>
      <w:r w:rsidRPr="00720821">
        <w:rPr>
          <w:b w:val="0"/>
          <w:sz w:val="28"/>
          <w:szCs w:val="28"/>
        </w:rPr>
        <w:t xml:space="preserve"> </w:t>
      </w: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right"/>
        <w:rPr>
          <w:b/>
          <w:sz w:val="24"/>
          <w:szCs w:val="24"/>
        </w:rPr>
      </w:pPr>
    </w:p>
    <w:p w:rsidR="00901AE5" w:rsidRPr="00FD78B9" w:rsidRDefault="00901AE5" w:rsidP="00901AE5">
      <w:pPr>
        <w:jc w:val="center"/>
        <w:rPr>
          <w:b/>
          <w:bCs/>
          <w:sz w:val="24"/>
          <w:szCs w:val="24"/>
        </w:rPr>
      </w:pPr>
      <w:r w:rsidRPr="00FD78B9">
        <w:rPr>
          <w:b/>
          <w:bCs/>
          <w:sz w:val="24"/>
          <w:szCs w:val="24"/>
        </w:rPr>
        <w:t>Критерии</w:t>
      </w:r>
    </w:p>
    <w:p w:rsidR="00901AE5" w:rsidRPr="00FD78B9" w:rsidRDefault="00901AE5" w:rsidP="00901AE5">
      <w:pPr>
        <w:jc w:val="center"/>
        <w:rPr>
          <w:b/>
          <w:bCs/>
          <w:sz w:val="24"/>
          <w:szCs w:val="24"/>
        </w:rPr>
      </w:pPr>
      <w:r w:rsidRPr="00FD78B9">
        <w:rPr>
          <w:b/>
          <w:bCs/>
          <w:sz w:val="24"/>
          <w:szCs w:val="24"/>
        </w:rPr>
        <w:t xml:space="preserve">отнесения клиентов ООО «Камкомбанк» </w:t>
      </w:r>
    </w:p>
    <w:p w:rsidR="00901AE5" w:rsidRPr="00FD78B9" w:rsidRDefault="00901AE5" w:rsidP="00901AE5">
      <w:pPr>
        <w:jc w:val="center"/>
        <w:rPr>
          <w:b/>
          <w:bCs/>
          <w:sz w:val="24"/>
          <w:szCs w:val="24"/>
        </w:rPr>
      </w:pPr>
      <w:r w:rsidRPr="00FD78B9">
        <w:rPr>
          <w:b/>
          <w:bCs/>
          <w:sz w:val="24"/>
          <w:szCs w:val="24"/>
        </w:rPr>
        <w:t xml:space="preserve">к категории «Иностранный налогоплательщик» </w:t>
      </w:r>
    </w:p>
    <w:p w:rsidR="00901AE5" w:rsidRPr="00FD78B9" w:rsidRDefault="00901AE5" w:rsidP="00901AE5">
      <w:pPr>
        <w:jc w:val="center"/>
        <w:rPr>
          <w:b/>
          <w:bCs/>
          <w:sz w:val="24"/>
          <w:szCs w:val="24"/>
        </w:rPr>
      </w:pPr>
      <w:r w:rsidRPr="00FD78B9">
        <w:rPr>
          <w:b/>
          <w:bCs/>
          <w:sz w:val="24"/>
          <w:szCs w:val="24"/>
        </w:rPr>
        <w:t>и способы получения от них необходимой информации</w:t>
      </w:r>
    </w:p>
    <w:p w:rsidR="00901AE5" w:rsidRDefault="00901AE5" w:rsidP="00901AE5">
      <w:pPr>
        <w:jc w:val="both"/>
        <w:rPr>
          <w:sz w:val="24"/>
          <w:szCs w:val="24"/>
        </w:rPr>
      </w:pPr>
    </w:p>
    <w:p w:rsidR="00901AE5" w:rsidRDefault="00901AE5" w:rsidP="00901AE5">
      <w:pPr>
        <w:jc w:val="both"/>
        <w:rPr>
          <w:sz w:val="24"/>
          <w:szCs w:val="24"/>
        </w:rPr>
      </w:pPr>
    </w:p>
    <w:p w:rsidR="00901AE5" w:rsidRDefault="00901AE5" w:rsidP="00901AE5">
      <w:pPr>
        <w:jc w:val="both"/>
        <w:rPr>
          <w:sz w:val="24"/>
          <w:szCs w:val="24"/>
        </w:rPr>
      </w:pPr>
    </w:p>
    <w:p w:rsidR="00901AE5" w:rsidRDefault="00901AE5" w:rsidP="00901AE5">
      <w:pPr>
        <w:jc w:val="both"/>
        <w:rPr>
          <w:sz w:val="24"/>
          <w:szCs w:val="24"/>
        </w:rPr>
      </w:pPr>
    </w:p>
    <w:p w:rsidR="00901AE5" w:rsidRDefault="00901AE5" w:rsidP="00901AE5">
      <w:pPr>
        <w:jc w:val="both"/>
        <w:rPr>
          <w:sz w:val="24"/>
          <w:szCs w:val="24"/>
        </w:rPr>
      </w:pPr>
    </w:p>
    <w:p w:rsidR="00901AE5" w:rsidRPr="00FD78B9" w:rsidRDefault="00901AE5" w:rsidP="00901A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Pr="00FD78B9">
        <w:rPr>
          <w:b/>
          <w:sz w:val="24"/>
          <w:szCs w:val="24"/>
        </w:rPr>
        <w:t>абережные Челны</w:t>
      </w:r>
    </w:p>
    <w:p w:rsidR="00901AE5" w:rsidRDefault="00901AE5" w:rsidP="00901AE5">
      <w:pPr>
        <w:jc w:val="center"/>
        <w:rPr>
          <w:b/>
          <w:sz w:val="24"/>
          <w:szCs w:val="24"/>
        </w:rPr>
      </w:pPr>
      <w:r w:rsidRPr="00FD78B9">
        <w:rPr>
          <w:b/>
          <w:sz w:val="24"/>
          <w:szCs w:val="24"/>
        </w:rPr>
        <w:t>2014</w:t>
      </w:r>
    </w:p>
    <w:p w:rsidR="00901AE5" w:rsidRPr="00FD78B9" w:rsidRDefault="00901AE5" w:rsidP="00901AE5">
      <w:pPr>
        <w:pStyle w:val="2"/>
        <w:jc w:val="center"/>
        <w:rPr>
          <w:b/>
          <w:sz w:val="24"/>
          <w:szCs w:val="24"/>
        </w:rPr>
      </w:pPr>
      <w:r w:rsidRPr="00FD78B9">
        <w:rPr>
          <w:b/>
          <w:sz w:val="24"/>
          <w:szCs w:val="24"/>
        </w:rPr>
        <w:lastRenderedPageBreak/>
        <w:t>1. Общие положения</w:t>
      </w:r>
    </w:p>
    <w:p w:rsidR="00901AE5" w:rsidRPr="00FD78B9" w:rsidRDefault="00901AE5" w:rsidP="00901AE5">
      <w:pPr>
        <w:ind w:firstLine="708"/>
        <w:jc w:val="both"/>
        <w:rPr>
          <w:sz w:val="24"/>
          <w:szCs w:val="24"/>
        </w:rPr>
      </w:pPr>
      <w:r w:rsidRPr="00FD78B9">
        <w:rPr>
          <w:sz w:val="24"/>
          <w:szCs w:val="24"/>
        </w:rPr>
        <w:t>1.1. Критерии разработаны в соответствии с Федеральным законом от 28.06.2014 N 173-ФЗ «Об особенностях осуществления финансовых операций с иностранными гражданами и юридическими лицами, о внесении изменений в Кодекс Российской Федерации об административных правонарушениях и признании утратившими силу отдельных положений законодательных актов Российской Федерации». Данные Критерии могут не являться для Банка исчерпывающими. Наличие других критериев выявляется исходя из анализа полученных сведений от обратившегося в Банк лица/Клиента.</w:t>
      </w:r>
    </w:p>
    <w:p w:rsidR="00901AE5" w:rsidRPr="00FD78B9" w:rsidRDefault="00901AE5" w:rsidP="00901AE5">
      <w:pPr>
        <w:ind w:firstLine="708"/>
        <w:jc w:val="both"/>
        <w:rPr>
          <w:sz w:val="24"/>
          <w:szCs w:val="24"/>
        </w:rPr>
      </w:pPr>
      <w:r w:rsidRPr="00FD78B9">
        <w:rPr>
          <w:sz w:val="24"/>
          <w:szCs w:val="24"/>
        </w:rPr>
        <w:t>1.2. Критерии применяются работниками Банка в целях выявления Иностранных налогоплательщиков при анализе сведений о лицах, заключающих (заключивших) с Банком договор, предусматривающий оказание Банком финансовых (банковских) услуг.</w:t>
      </w:r>
    </w:p>
    <w:p w:rsidR="00901AE5" w:rsidRPr="00FD78B9" w:rsidRDefault="00901AE5" w:rsidP="00901AE5">
      <w:pPr>
        <w:ind w:firstLine="708"/>
        <w:jc w:val="both"/>
        <w:rPr>
          <w:sz w:val="24"/>
          <w:szCs w:val="24"/>
        </w:rPr>
      </w:pPr>
      <w:r w:rsidRPr="00FD78B9">
        <w:rPr>
          <w:sz w:val="24"/>
          <w:szCs w:val="24"/>
        </w:rPr>
        <w:t>1.3. Банк принимает обоснованные и доступные в сложившихся обстоятельствах меры по выявлению среди лиц, обращающихся в Банк за получением финансовых (банковских) услуг, и среди Клиентов Банка тех лиц, на которых распространяется законодательство иностранного государства о налогообложении иностранных счетов.</w:t>
      </w:r>
    </w:p>
    <w:p w:rsidR="00901AE5" w:rsidRPr="00FD78B9" w:rsidRDefault="00901AE5" w:rsidP="00901AE5">
      <w:pPr>
        <w:ind w:firstLine="708"/>
        <w:jc w:val="both"/>
        <w:rPr>
          <w:sz w:val="24"/>
          <w:szCs w:val="24"/>
        </w:rPr>
      </w:pPr>
      <w:r w:rsidRPr="00FD78B9">
        <w:rPr>
          <w:sz w:val="24"/>
          <w:szCs w:val="24"/>
        </w:rPr>
        <w:t>1.4. Физическое или юридическое лицо может быть признано Иностранным налогоплательщиком в случае соответствия Критериям с учетом исключений при наличии в Банке документов и сведений, подтверждающих соответствие Критериям.</w:t>
      </w:r>
    </w:p>
    <w:p w:rsidR="00901AE5" w:rsidRPr="00FD78B9" w:rsidRDefault="00901AE5" w:rsidP="00901AE5">
      <w:pPr>
        <w:ind w:firstLine="708"/>
        <w:jc w:val="both"/>
        <w:rPr>
          <w:sz w:val="24"/>
          <w:szCs w:val="24"/>
        </w:rPr>
      </w:pPr>
      <w:r w:rsidRPr="00FD78B9">
        <w:rPr>
          <w:sz w:val="24"/>
          <w:szCs w:val="24"/>
        </w:rPr>
        <w:t>1.5. Настоящие критерии и все изменения и дополнения к ним утверждаются Правлением Банка.</w:t>
      </w:r>
    </w:p>
    <w:p w:rsidR="00901AE5" w:rsidRPr="00FD78B9" w:rsidRDefault="00901AE5" w:rsidP="00901AE5">
      <w:pPr>
        <w:jc w:val="both"/>
        <w:rPr>
          <w:sz w:val="24"/>
          <w:szCs w:val="24"/>
        </w:rPr>
      </w:pP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b/>
          <w:sz w:val="24"/>
          <w:szCs w:val="24"/>
        </w:rPr>
        <w:t>2. Критерии отнесения физических лиц (</w:t>
      </w:r>
      <w:proofErr w:type="spellStart"/>
      <w:r w:rsidRPr="000E7B83">
        <w:rPr>
          <w:b/>
          <w:sz w:val="24"/>
          <w:szCs w:val="24"/>
        </w:rPr>
        <w:t>бенефициарных</w:t>
      </w:r>
      <w:proofErr w:type="spellEnd"/>
      <w:r w:rsidRPr="000E7B83">
        <w:rPr>
          <w:b/>
          <w:sz w:val="24"/>
          <w:szCs w:val="24"/>
        </w:rPr>
        <w:t xml:space="preserve"> владельцев и индивидуальных предпринимателей) к категории «Иностранный налогоплательщик»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E7B83" w:rsidRDefault="00901AE5" w:rsidP="00901AE5">
      <w:pPr>
        <w:tabs>
          <w:tab w:val="left" w:pos="1134"/>
        </w:tabs>
        <w:ind w:left="426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>2.1.</w:t>
      </w:r>
      <w:r w:rsidRPr="000E7B83">
        <w:rPr>
          <w:sz w:val="24"/>
          <w:szCs w:val="24"/>
        </w:rPr>
        <w:tab/>
      </w:r>
      <w:proofErr w:type="gramStart"/>
      <w:r w:rsidRPr="000E7B83">
        <w:rPr>
          <w:sz w:val="24"/>
          <w:szCs w:val="24"/>
        </w:rPr>
        <w:t>Физическое лицо является гражданином иностранного государства (за исключением гражданства государств членов Таможенного союза:</w:t>
      </w:r>
      <w:proofErr w:type="gramEnd"/>
      <w:r w:rsidRPr="000E7B83">
        <w:rPr>
          <w:sz w:val="24"/>
          <w:szCs w:val="24"/>
        </w:rPr>
        <w:t xml:space="preserve"> </w:t>
      </w:r>
      <w:proofErr w:type="gramStart"/>
      <w:r w:rsidRPr="000E7B83">
        <w:rPr>
          <w:sz w:val="24"/>
          <w:szCs w:val="24"/>
        </w:rPr>
        <w:t>Белоруссия, Казахстан).</w:t>
      </w:r>
      <w:proofErr w:type="gramEnd"/>
      <w:r w:rsidRPr="000E7B83">
        <w:rPr>
          <w:sz w:val="24"/>
          <w:szCs w:val="24"/>
        </w:rPr>
        <w:t xml:space="preserve"> </w:t>
      </w:r>
      <w:proofErr w:type="gramStart"/>
      <w:r w:rsidRPr="000E7B83">
        <w:rPr>
          <w:sz w:val="24"/>
          <w:szCs w:val="24"/>
        </w:rPr>
        <w:t>Физическое лицо имеет разрешение на постоянное пребывание (вид на</w:t>
      </w:r>
      <w:r w:rsidRPr="000E7B83">
        <w:rPr>
          <w:rFonts w:ascii="Arial" w:hAnsi="Arial" w:cs="Arial"/>
          <w:sz w:val="24"/>
          <w:szCs w:val="24"/>
        </w:rPr>
        <w:t xml:space="preserve"> </w:t>
      </w:r>
      <w:r w:rsidRPr="000E7B83">
        <w:rPr>
          <w:sz w:val="24"/>
          <w:szCs w:val="24"/>
        </w:rPr>
        <w:t xml:space="preserve">жительство) в иностранном государстве (например, карточка постоянного жителя США (форма </w:t>
      </w:r>
      <w:r w:rsidRPr="000E7B83">
        <w:rPr>
          <w:sz w:val="24"/>
          <w:szCs w:val="24"/>
          <w:lang w:val="en-US"/>
        </w:rPr>
        <w:t>I</w:t>
      </w:r>
      <w:r w:rsidRPr="000E7B83">
        <w:rPr>
          <w:sz w:val="24"/>
          <w:szCs w:val="24"/>
        </w:rPr>
        <w:t>-551 («</w:t>
      </w:r>
      <w:proofErr w:type="spellStart"/>
      <w:r w:rsidRPr="000E7B83">
        <w:rPr>
          <w:sz w:val="24"/>
          <w:szCs w:val="24"/>
        </w:rPr>
        <w:t>Green</w:t>
      </w:r>
      <w:proofErr w:type="spellEnd"/>
      <w:r w:rsidRPr="000E7B83">
        <w:rPr>
          <w:sz w:val="24"/>
          <w:szCs w:val="24"/>
        </w:rPr>
        <w:t xml:space="preserve"> </w:t>
      </w:r>
      <w:proofErr w:type="spellStart"/>
      <w:r w:rsidRPr="000E7B83">
        <w:rPr>
          <w:sz w:val="24"/>
          <w:szCs w:val="24"/>
        </w:rPr>
        <w:t>Card</w:t>
      </w:r>
      <w:proofErr w:type="spellEnd"/>
      <w:r w:rsidRPr="000E7B83">
        <w:rPr>
          <w:sz w:val="24"/>
          <w:szCs w:val="24"/>
        </w:rPr>
        <w:t>»).</w:t>
      </w:r>
      <w:proofErr w:type="gramEnd"/>
    </w:p>
    <w:p w:rsidR="00901AE5" w:rsidRPr="000E7B83" w:rsidRDefault="00901AE5" w:rsidP="00901AE5">
      <w:pPr>
        <w:pStyle w:val="a5"/>
        <w:numPr>
          <w:ilvl w:val="1"/>
          <w:numId w:val="3"/>
        </w:numPr>
        <w:tabs>
          <w:tab w:val="clear" w:pos="1353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 Место рождения физического лица находится в США;</w:t>
      </w:r>
    </w:p>
    <w:p w:rsidR="00901AE5" w:rsidRPr="000E7B83" w:rsidRDefault="00901AE5" w:rsidP="00901AE5">
      <w:pPr>
        <w:numPr>
          <w:ilvl w:val="1"/>
          <w:numId w:val="3"/>
        </w:numPr>
        <w:tabs>
          <w:tab w:val="clear" w:pos="1353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 xml:space="preserve"> Адресом места жительства (домашним или почтовым адресом, включая почтовый ящик) физического лица является США. </w:t>
      </w:r>
    </w:p>
    <w:p w:rsidR="00901AE5" w:rsidRPr="000E7B83" w:rsidRDefault="00901AE5" w:rsidP="00901AE5">
      <w:pPr>
        <w:numPr>
          <w:ilvl w:val="1"/>
          <w:numId w:val="3"/>
        </w:numPr>
        <w:tabs>
          <w:tab w:val="clear" w:pos="1353"/>
          <w:tab w:val="left" w:pos="1134"/>
        </w:tabs>
        <w:spacing w:after="0" w:line="240" w:lineRule="auto"/>
        <w:ind w:left="709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 xml:space="preserve">  Номер телефона физического лица зарегистрирован в США (код страны начинается с «001»);</w:t>
      </w:r>
    </w:p>
    <w:p w:rsidR="00901AE5" w:rsidRPr="000E7B83" w:rsidRDefault="00901AE5" w:rsidP="00901AE5">
      <w:pPr>
        <w:pStyle w:val="a5"/>
        <w:numPr>
          <w:ilvl w:val="1"/>
          <w:numId w:val="3"/>
        </w:numPr>
        <w:tabs>
          <w:tab w:val="clear" w:pos="1353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>Доверенность или право подписи предоставлены Клиентом лицу с адресом в США;</w:t>
      </w:r>
    </w:p>
    <w:p w:rsidR="00901AE5" w:rsidRPr="000E7B83" w:rsidRDefault="00901AE5" w:rsidP="00901AE5">
      <w:pPr>
        <w:pStyle w:val="a5"/>
        <w:numPr>
          <w:ilvl w:val="1"/>
          <w:numId w:val="3"/>
        </w:numPr>
        <w:tabs>
          <w:tab w:val="clear" w:pos="1353"/>
          <w:tab w:val="left" w:pos="993"/>
        </w:tabs>
        <w:spacing w:after="0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>В качестве единственного адреса для передачи выписок по счетам, открытым клиентом в Банке, указано «для передачи» или «до востребования»;</w:t>
      </w:r>
    </w:p>
    <w:p w:rsidR="00901AE5" w:rsidRPr="000E7B83" w:rsidRDefault="00901AE5" w:rsidP="00901AE5">
      <w:pPr>
        <w:pStyle w:val="a5"/>
        <w:numPr>
          <w:ilvl w:val="1"/>
          <w:numId w:val="3"/>
        </w:numPr>
        <w:tabs>
          <w:tab w:val="clear" w:pos="1353"/>
          <w:tab w:val="left" w:pos="993"/>
        </w:tabs>
        <w:spacing w:after="0"/>
        <w:ind w:hanging="927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  <w:r w:rsidRPr="000E7B83">
        <w:rPr>
          <w:rFonts w:ascii="Times New Roman" w:hAnsi="Times New Roman"/>
          <w:spacing w:val="-6"/>
          <w:sz w:val="24"/>
          <w:szCs w:val="24"/>
          <w:lang w:eastAsia="ru-RU"/>
        </w:rPr>
        <w:t>Наличие распоряжения Клиента на перевод денежных средств на счет получателя в США.</w:t>
      </w:r>
    </w:p>
    <w:p w:rsidR="00901AE5" w:rsidRPr="000E7B83" w:rsidRDefault="00901AE5" w:rsidP="00901AE5">
      <w:pPr>
        <w:pStyle w:val="a5"/>
        <w:tabs>
          <w:tab w:val="left" w:pos="993"/>
        </w:tabs>
        <w:spacing w:after="0"/>
        <w:ind w:left="1353"/>
        <w:jc w:val="both"/>
        <w:rPr>
          <w:rFonts w:ascii="Times New Roman" w:hAnsi="Times New Roman"/>
          <w:spacing w:val="-6"/>
          <w:sz w:val="24"/>
          <w:szCs w:val="24"/>
          <w:lang w:eastAsia="ru-RU"/>
        </w:rPr>
      </w:pPr>
    </w:p>
    <w:p w:rsidR="00901AE5" w:rsidRPr="000E7B83" w:rsidRDefault="00901AE5" w:rsidP="00901AE5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lastRenderedPageBreak/>
        <w:t xml:space="preserve"> Применительно к США налоговыми резидентами не признаются:</w:t>
      </w:r>
    </w:p>
    <w:p w:rsidR="00901AE5" w:rsidRPr="00FD78B9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          - лица, предоставившие свидетельства об утрате гражданства США по форме DS4083 Бюро консульских дел Государственного департамента США, составленного со</w:t>
      </w:r>
      <w:r w:rsidRPr="00FD78B9">
        <w:rPr>
          <w:rFonts w:ascii="Times New Roman" w:hAnsi="Times New Roman"/>
          <w:sz w:val="24"/>
          <w:szCs w:val="24"/>
          <w:lang w:eastAsia="ru-RU"/>
        </w:rPr>
        <w:t xml:space="preserve">трудником консульской службы США, подтверждающего отказ от гражданства США. (Данная форма утверждается Государственным Секретарем США на основании Закона об иммиграции и гражданстве США 1952г.) </w:t>
      </w:r>
    </w:p>
    <w:p w:rsidR="00901AE5" w:rsidRPr="00FD78B9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78B9">
        <w:rPr>
          <w:rFonts w:ascii="Times New Roman" w:hAnsi="Times New Roman"/>
          <w:sz w:val="24"/>
          <w:szCs w:val="24"/>
          <w:lang w:eastAsia="ru-RU"/>
        </w:rPr>
        <w:t xml:space="preserve">           -работники дипломатических, консульских и международных организаций, а также члены их семей, временно присутствующие в США на основании виз типа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A</w:t>
      </w:r>
      <w:r w:rsidRPr="00FD78B9">
        <w:rPr>
          <w:rFonts w:ascii="Times New Roman" w:hAnsi="Times New Roman"/>
          <w:sz w:val="24"/>
          <w:szCs w:val="24"/>
          <w:lang w:eastAsia="ru-RU"/>
        </w:rPr>
        <w:t>» и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G</w:t>
      </w:r>
      <w:r w:rsidRPr="00FD78B9">
        <w:rPr>
          <w:rFonts w:ascii="Times New Roman" w:hAnsi="Times New Roman"/>
          <w:sz w:val="24"/>
          <w:szCs w:val="24"/>
          <w:lang w:eastAsia="ru-RU"/>
        </w:rPr>
        <w:t>»;</w:t>
      </w:r>
    </w:p>
    <w:p w:rsidR="00901AE5" w:rsidRPr="00FD78B9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78B9">
        <w:rPr>
          <w:rFonts w:ascii="Times New Roman" w:hAnsi="Times New Roman"/>
          <w:sz w:val="24"/>
          <w:szCs w:val="24"/>
          <w:lang w:eastAsia="ru-RU"/>
        </w:rPr>
        <w:t xml:space="preserve">            -</w:t>
      </w:r>
      <w:r w:rsidRPr="0003706A">
        <w:rPr>
          <w:rFonts w:ascii="Times New Roman" w:hAnsi="Times New Roman"/>
          <w:sz w:val="24"/>
          <w:szCs w:val="24"/>
          <w:lang w:eastAsia="ru-RU"/>
        </w:rPr>
        <w:t>учителя/тренеры  или</w:t>
      </w:r>
      <w:r w:rsidRPr="00FD78B9">
        <w:rPr>
          <w:rFonts w:ascii="Times New Roman" w:hAnsi="Times New Roman"/>
          <w:sz w:val="24"/>
          <w:szCs w:val="24"/>
          <w:lang w:eastAsia="ru-RU"/>
        </w:rPr>
        <w:t xml:space="preserve"> стажеры, временно присутствующие в США на основании виз типа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FD78B9">
        <w:rPr>
          <w:rFonts w:ascii="Times New Roman" w:hAnsi="Times New Roman"/>
          <w:sz w:val="24"/>
          <w:szCs w:val="24"/>
          <w:lang w:eastAsia="ru-RU"/>
        </w:rPr>
        <w:t>» или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FD78B9">
        <w:rPr>
          <w:rFonts w:ascii="Times New Roman" w:hAnsi="Times New Roman"/>
          <w:sz w:val="24"/>
          <w:szCs w:val="24"/>
          <w:lang w:eastAsia="ru-RU"/>
        </w:rPr>
        <w:t>»;</w:t>
      </w:r>
    </w:p>
    <w:p w:rsidR="00901AE5" w:rsidRPr="00FD78B9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78B9">
        <w:rPr>
          <w:rFonts w:ascii="Times New Roman" w:hAnsi="Times New Roman"/>
          <w:sz w:val="24"/>
          <w:szCs w:val="24"/>
          <w:lang w:eastAsia="ru-RU"/>
        </w:rPr>
        <w:t xml:space="preserve">           -студенты, временно присутствующие в США на основании виз типа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F</w:t>
      </w:r>
      <w:r w:rsidRPr="00FD78B9">
        <w:rPr>
          <w:rFonts w:ascii="Times New Roman" w:hAnsi="Times New Roman"/>
          <w:sz w:val="24"/>
          <w:szCs w:val="24"/>
          <w:lang w:eastAsia="ru-RU"/>
        </w:rPr>
        <w:t>»,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J</w:t>
      </w:r>
      <w:r w:rsidRPr="00FD78B9">
        <w:rPr>
          <w:rFonts w:ascii="Times New Roman" w:hAnsi="Times New Roman"/>
          <w:sz w:val="24"/>
          <w:szCs w:val="24"/>
          <w:lang w:eastAsia="ru-RU"/>
        </w:rPr>
        <w:t>»,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M</w:t>
      </w:r>
      <w:r w:rsidRPr="00FD78B9">
        <w:rPr>
          <w:rFonts w:ascii="Times New Roman" w:hAnsi="Times New Roman"/>
          <w:sz w:val="24"/>
          <w:szCs w:val="24"/>
          <w:lang w:eastAsia="ru-RU"/>
        </w:rPr>
        <w:t>» или «</w:t>
      </w:r>
      <w:r w:rsidRPr="00FD78B9">
        <w:rPr>
          <w:rFonts w:ascii="Times New Roman" w:hAnsi="Times New Roman"/>
          <w:sz w:val="24"/>
          <w:szCs w:val="24"/>
          <w:lang w:val="en-US" w:eastAsia="ru-RU"/>
        </w:rPr>
        <w:t>Q</w:t>
      </w:r>
      <w:r w:rsidRPr="00FD78B9">
        <w:rPr>
          <w:rFonts w:ascii="Times New Roman" w:hAnsi="Times New Roman"/>
          <w:sz w:val="24"/>
          <w:szCs w:val="24"/>
          <w:lang w:eastAsia="ru-RU"/>
        </w:rPr>
        <w:t>»;</w:t>
      </w:r>
    </w:p>
    <w:p w:rsidR="00901AE5" w:rsidRPr="00FD78B9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FD78B9">
        <w:rPr>
          <w:rFonts w:ascii="Times New Roman" w:hAnsi="Times New Roman"/>
          <w:sz w:val="24"/>
          <w:szCs w:val="24"/>
          <w:lang w:eastAsia="ru-RU"/>
        </w:rPr>
        <w:t xml:space="preserve">           -профессиональные спортсмены, временно присутствующие в США в целях участия в благотворительных спортивных мероприятиях.</w:t>
      </w:r>
    </w:p>
    <w:p w:rsidR="00901AE5" w:rsidRPr="00FD78B9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b/>
          <w:sz w:val="24"/>
          <w:szCs w:val="24"/>
        </w:rPr>
        <w:t>4. Критерии отнесения юридических лиц к категории «Иностранный налогоплательщик»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>4.1. Юридическое лицо относится к категории «Иностранный налогоплательщик» в случае выявления хотя бы одного из следующих признаков: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>4.1.1. юридическое лицо зарегистрировано (учреждено) в иностранном государстве или в соответствии с законодательством иностранного государства, при этом юридическое лицо не относится ни к одной из категорий юридических лиц, исключенных из состава специально указанных налоговых резидентов;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 xml:space="preserve">4.1.2. в состав </w:t>
      </w:r>
      <w:proofErr w:type="spellStart"/>
      <w:r w:rsidRPr="000E7B83">
        <w:rPr>
          <w:sz w:val="24"/>
          <w:szCs w:val="24"/>
        </w:rPr>
        <w:t>Бенефициарных</w:t>
      </w:r>
      <w:proofErr w:type="spellEnd"/>
      <w:r w:rsidRPr="000E7B83">
        <w:rPr>
          <w:sz w:val="24"/>
          <w:szCs w:val="24"/>
        </w:rPr>
        <w:t xml:space="preserve"> владельцев или Контролирующих лиц юридического лица входит физическое лицо, признанное Иностранным налогоплательщиком на основании раздела 2 Критериев, или юридическое лицо, признанное Иностранным налогоплательщиком на основании пункта 4.1.1 Критериев.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>Применительно к США: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>– юридическое лицо является налогоплательщиком США, если более 10% его акций (долей участия) принадлежит физическому лицу, которое является налогоплательщиком США на основании раздела 2 Критериев,</w:t>
      </w:r>
    </w:p>
    <w:p w:rsidR="00901AE5" w:rsidRPr="000E7B83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 xml:space="preserve"> – юридическое лицо является налогоплательщиком США, если более 10% его акций (долей участия) принадлежит юридическому, являющемуся Пассивной нефинансовой организацией, которая является налогоплательщиком США на основании п.4.1.1 Критериев и не относится к исключениям, указанным в п.4.2 и 4.3. Критериев.</w:t>
      </w:r>
    </w:p>
    <w:p w:rsidR="00901AE5" w:rsidRPr="000E7B83" w:rsidRDefault="00901AE5" w:rsidP="00901AE5">
      <w:pPr>
        <w:pStyle w:val="a5"/>
        <w:numPr>
          <w:ilvl w:val="2"/>
          <w:numId w:val="2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0E7B83">
        <w:rPr>
          <w:rFonts w:ascii="Times New Roman" w:hAnsi="Times New Roman"/>
          <w:sz w:val="24"/>
          <w:szCs w:val="24"/>
          <w:lang w:eastAsia="ru-RU"/>
        </w:rPr>
        <w:t>н</w:t>
      </w:r>
      <w:proofErr w:type="gramEnd"/>
      <w:r w:rsidRPr="000E7B83">
        <w:rPr>
          <w:rFonts w:ascii="Times New Roman" w:hAnsi="Times New Roman"/>
          <w:sz w:val="24"/>
          <w:szCs w:val="24"/>
          <w:lang w:eastAsia="ru-RU"/>
        </w:rPr>
        <w:t>аличие почтового или фактического адреса клиента в США;</w:t>
      </w:r>
    </w:p>
    <w:p w:rsidR="00901AE5" w:rsidRPr="000E7B83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     4.1.4. телефонный номер клиента зарегистрирован в США (код страны начинается с «001»);</w:t>
      </w:r>
    </w:p>
    <w:p w:rsidR="00901AE5" w:rsidRPr="000E7B83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     4.1.5. доверенность или право подписи предоставлены клиентом лицу с адресом в США;</w:t>
      </w:r>
    </w:p>
    <w:p w:rsidR="00901AE5" w:rsidRPr="000E7B83" w:rsidRDefault="00901AE5" w:rsidP="00901AE5">
      <w:pPr>
        <w:pStyle w:val="a5"/>
        <w:numPr>
          <w:ilvl w:val="2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t xml:space="preserve"> в качестве единственного адреса для передачи выписок по счетам, открытым клиентом в Банке, указано «для передачи» или «до востребования»;</w:t>
      </w:r>
    </w:p>
    <w:p w:rsidR="00901AE5" w:rsidRPr="000E7B83" w:rsidRDefault="00901AE5" w:rsidP="00901AE5">
      <w:pPr>
        <w:pStyle w:val="a5"/>
        <w:numPr>
          <w:ilvl w:val="2"/>
          <w:numId w:val="1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E7B83">
        <w:rPr>
          <w:rFonts w:ascii="Times New Roman" w:hAnsi="Times New Roman"/>
          <w:sz w:val="24"/>
          <w:szCs w:val="24"/>
          <w:lang w:eastAsia="ru-RU"/>
        </w:rPr>
        <w:lastRenderedPageBreak/>
        <w:t xml:space="preserve"> наличие распоряжения клиента, не являющегося финансовой организацией, на перевод денежных средств на счет получателя в США.</w:t>
      </w:r>
    </w:p>
    <w:p w:rsidR="00901AE5" w:rsidRPr="000E7B83" w:rsidRDefault="00901AE5" w:rsidP="00901AE5">
      <w:pPr>
        <w:pStyle w:val="a5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E7B83">
        <w:rPr>
          <w:sz w:val="24"/>
          <w:szCs w:val="24"/>
        </w:rPr>
        <w:t xml:space="preserve">4.2. </w:t>
      </w:r>
      <w:r w:rsidRPr="000E7B83">
        <w:rPr>
          <w:b/>
          <w:sz w:val="24"/>
          <w:szCs w:val="24"/>
        </w:rPr>
        <w:t>Исключения</w:t>
      </w:r>
      <w:r w:rsidRPr="000E7B83">
        <w:rPr>
          <w:sz w:val="24"/>
          <w:szCs w:val="24"/>
        </w:rPr>
        <w:t xml:space="preserve">: </w:t>
      </w:r>
      <w:proofErr w:type="gramStart"/>
      <w:r w:rsidRPr="000E7B83">
        <w:rPr>
          <w:sz w:val="24"/>
          <w:szCs w:val="24"/>
        </w:rPr>
        <w:t>Критерии раздела 4 не применяются к юридическим лицам</w:t>
      </w:r>
      <w:r w:rsidRPr="0003706A">
        <w:rPr>
          <w:sz w:val="24"/>
          <w:szCs w:val="24"/>
        </w:rPr>
        <w:t xml:space="preserve">, </w:t>
      </w:r>
      <w:r w:rsidRPr="0003706A">
        <w:rPr>
          <w:sz w:val="24"/>
          <w:szCs w:val="24"/>
          <w:u w:val="single"/>
        </w:rPr>
        <w:t>более 90%</w:t>
      </w:r>
      <w:r w:rsidRPr="0003706A">
        <w:rPr>
          <w:sz w:val="24"/>
          <w:szCs w:val="24"/>
        </w:rPr>
        <w:t xml:space="preserve"> акций (долей участия) в его уставном капитале прямо или косвенно контролируются Российской Федерацией и/или гражданами Российской Федерации (в том числе имеющими одновременно с гражданством Российской Федерации гражданство государства - члена Таможенного союза) и не имеющими гражданства или вида на жительство в иностранном государстве, не входящим в Таможенный союз.</w:t>
      </w:r>
      <w:proofErr w:type="gramEnd"/>
    </w:p>
    <w:p w:rsidR="00901AE5" w:rsidRPr="0003706A" w:rsidRDefault="00901AE5" w:rsidP="00901AE5">
      <w:pPr>
        <w:tabs>
          <w:tab w:val="left" w:pos="1134"/>
        </w:tabs>
        <w:ind w:firstLine="708"/>
        <w:contextualSpacing/>
        <w:jc w:val="both"/>
        <w:rPr>
          <w:sz w:val="24"/>
          <w:szCs w:val="24"/>
        </w:rPr>
      </w:pPr>
      <w:r w:rsidRPr="0003706A">
        <w:rPr>
          <w:sz w:val="24"/>
          <w:szCs w:val="24"/>
        </w:rPr>
        <w:t>4.3. Применительно к США налоговыми резидентами не признаются: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корпорации, акции которых регулярно котируются на одной или более организованной бирже ценных бумаг.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-Американские компании или корпорации, входящие  в расширенную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аффилированную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группу компаний и/или корпораций, акции которых регулярно котируются на одной или более организованной бирже ценных бумаг.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организации, освобожденные от налогообложения согласно секции 501 (а), а также пенсионные фонды, определение которых установлено секцией 7701(а) (37) Налогового кодекса США.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-Государственные учреждения или агентства США и их дочерние организации.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-Любой штат США, Округ Колумбия, подконтрольные США территории (Американское Самоа, Территория Гуам, Северные Марианские о-ва, </w:t>
      </w:r>
      <w:proofErr w:type="spellStart"/>
      <w:proofErr w:type="gramStart"/>
      <w:r w:rsidRPr="0003706A">
        <w:rPr>
          <w:rFonts w:ascii="Times New Roman" w:hAnsi="Times New Roman"/>
          <w:sz w:val="24"/>
          <w:szCs w:val="24"/>
          <w:lang w:eastAsia="ru-RU"/>
        </w:rPr>
        <w:t>Пуэрто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Рико</w:t>
      </w:r>
      <w:proofErr w:type="spellEnd"/>
      <w:proofErr w:type="gramEnd"/>
      <w:r w:rsidRPr="0003706A">
        <w:rPr>
          <w:rFonts w:ascii="Times New Roman" w:hAnsi="Times New Roman"/>
          <w:sz w:val="24"/>
          <w:szCs w:val="24"/>
          <w:lang w:eastAsia="ru-RU"/>
        </w:rPr>
        <w:t>, Американские Виргинские о-ва), любое политическое отделение данных субъектов или любое агентство или другое образование, которое ими создано или полностью им принадлежит.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банки в соответствии с определением секции 581 Налогового кодекса США (банковские и трастовые организации, существенную часть бизнеса которых составляет прием депозитов, выдача кредитов или предоставление фидуциарных услуг и которые имеют соответствующую лицензию).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инвестиционные фонды недвижимости, определенные в соответствии с секцией 856 Налогового кодекса США.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регулируемые инвестиционные компании, соответствующие определению секции 851 Налогового кодекса США или любые компании, зарегистрированные в Комиссии США по ценным бумагам и биржам.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инвестиционные фонды (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common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trust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fund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>) в соответствии с определением, содержащимся в секции 584 Налогового кодекса США.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трасты, освобожденные от налогообложения согласно секции 664 (с) (положения данной секции касаются трастов, созданных для благотворительных целей).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pacing w:val="-4"/>
          <w:sz w:val="24"/>
          <w:szCs w:val="24"/>
          <w:lang w:eastAsia="ru-RU"/>
        </w:rPr>
      </w:pPr>
      <w:r w:rsidRPr="0003706A">
        <w:rPr>
          <w:rFonts w:ascii="Times New Roman" w:hAnsi="Times New Roman"/>
          <w:spacing w:val="-4"/>
          <w:sz w:val="24"/>
          <w:szCs w:val="24"/>
          <w:lang w:eastAsia="ru-RU"/>
        </w:rPr>
        <w:t xml:space="preserve">-Американские организации, являющиеся дилерами по операциям с  ценными бумагами, товарами биржевой торговли, или </w:t>
      </w:r>
      <w:proofErr w:type="spellStart"/>
      <w:r w:rsidRPr="0003706A">
        <w:rPr>
          <w:rFonts w:ascii="Times New Roman" w:hAnsi="Times New Roman"/>
          <w:spacing w:val="-4"/>
          <w:sz w:val="24"/>
          <w:szCs w:val="24"/>
          <w:lang w:eastAsia="ru-RU"/>
        </w:rPr>
        <w:t>деривативами</w:t>
      </w:r>
      <w:proofErr w:type="spellEnd"/>
      <w:r w:rsidRPr="0003706A">
        <w:rPr>
          <w:rFonts w:ascii="Times New Roman" w:hAnsi="Times New Roman"/>
          <w:spacing w:val="-4"/>
          <w:sz w:val="24"/>
          <w:szCs w:val="24"/>
          <w:lang w:eastAsia="ru-RU"/>
        </w:rPr>
        <w:t xml:space="preserve"> (включая такие инструменты как фьючерсы, форварды и опционы), зарегистрированные в качестве дилера в соответствии с требованиями законодательства США.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брокеры, имеющие соответствующую лицензию.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-Американские трасты, освобожденные от налогообложения согласно секции 403 (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b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) Налогового Кодекса США (трасты, созданные для сотрудников организации, </w:t>
      </w:r>
      <w:r w:rsidRPr="0003706A">
        <w:rPr>
          <w:rFonts w:ascii="Times New Roman" w:hAnsi="Times New Roman"/>
          <w:sz w:val="24"/>
          <w:szCs w:val="24"/>
          <w:lang w:eastAsia="ru-RU"/>
        </w:rPr>
        <w:lastRenderedPageBreak/>
        <w:t>удовлетворяющие определенным критериям) и секции 457 (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g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>) трасты, созданные для выплаты компенсаций сотрудникам государственных организаций США.</w:t>
      </w: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b/>
          <w:sz w:val="24"/>
          <w:szCs w:val="24"/>
        </w:rPr>
      </w:pPr>
      <w:r w:rsidRPr="0003706A">
        <w:rPr>
          <w:b/>
          <w:sz w:val="24"/>
          <w:szCs w:val="24"/>
        </w:rPr>
        <w:t>5. Способы получения от клиентов необходимой информации</w:t>
      </w: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  <w:r w:rsidRPr="0003706A">
        <w:rPr>
          <w:sz w:val="24"/>
          <w:szCs w:val="24"/>
        </w:rPr>
        <w:t>Сведения и/или документы, в том числе заполненная анкета, могут быть направлены лицом Банку одним из следующих способов: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-представлением в ВСП, ОВО,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ОВиПК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>, ОРО;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           -почтовой связью заказным письмом с уведомлением о вручении;</w:t>
      </w:r>
    </w:p>
    <w:p w:rsidR="00901AE5" w:rsidRPr="0003706A" w:rsidRDefault="00901AE5" w:rsidP="00901AE5">
      <w:pPr>
        <w:pStyle w:val="a5"/>
        <w:tabs>
          <w:tab w:val="left" w:pos="993"/>
        </w:tabs>
        <w:spacing w:after="0"/>
        <w:ind w:left="0"/>
        <w:jc w:val="both"/>
        <w:rPr>
          <w:rFonts w:ascii="Arial" w:hAnsi="Arial" w:cs="Arial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           -электронным документом, подписанным электронной подписью в соответствии с требованиями законодательства Российской Федерации, в том числе с использованием системы «Банк-Клиент» и других электронных каналов передачи информации</w:t>
      </w:r>
      <w:r w:rsidRPr="0003706A">
        <w:rPr>
          <w:rFonts w:ascii="Arial" w:hAnsi="Arial" w:cs="Arial"/>
          <w:sz w:val="24"/>
          <w:szCs w:val="24"/>
          <w:lang w:eastAsia="ru-RU"/>
        </w:rPr>
        <w:t>.</w:t>
      </w: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rFonts w:ascii="Arial" w:hAnsi="Arial" w:cs="Arial"/>
          <w:b/>
          <w:sz w:val="24"/>
          <w:szCs w:val="24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Default="00901AE5" w:rsidP="00901AE5">
      <w:pPr>
        <w:ind w:firstLine="708"/>
        <w:contextualSpacing/>
        <w:jc w:val="right"/>
        <w:rPr>
          <w:b/>
          <w:sz w:val="24"/>
          <w:szCs w:val="24"/>
          <w:lang w:val="en-US"/>
        </w:rPr>
      </w:pPr>
    </w:p>
    <w:p w:rsidR="00901AE5" w:rsidRPr="0003706A" w:rsidRDefault="00901AE5" w:rsidP="00901AE5">
      <w:pPr>
        <w:ind w:firstLine="708"/>
        <w:contextualSpacing/>
        <w:jc w:val="right"/>
        <w:rPr>
          <w:b/>
          <w:sz w:val="24"/>
          <w:szCs w:val="24"/>
        </w:rPr>
      </w:pPr>
      <w:r w:rsidRPr="0003706A">
        <w:rPr>
          <w:b/>
          <w:sz w:val="24"/>
          <w:szCs w:val="24"/>
        </w:rPr>
        <w:lastRenderedPageBreak/>
        <w:t>Приложение №2</w:t>
      </w: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3706A" w:rsidRDefault="00901AE5" w:rsidP="00901AE5">
      <w:pPr>
        <w:tabs>
          <w:tab w:val="left" w:pos="993"/>
        </w:tabs>
        <w:ind w:left="709"/>
        <w:jc w:val="both"/>
        <w:rPr>
          <w:b/>
          <w:sz w:val="24"/>
          <w:szCs w:val="24"/>
        </w:rPr>
      </w:pPr>
      <w:r w:rsidRPr="006C418C">
        <w:rPr>
          <w:b/>
          <w:sz w:val="24"/>
          <w:szCs w:val="24"/>
        </w:rPr>
        <w:t>Перечень пассивных доходов: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дивиденды;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проценты;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доходы, полученные от пула страховых договоров, при условии, что полученные суммы зависят целиком или в части от доходности пула;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рента и роялти (за исключением ренты и роялти, полученной в ходе активной операционной деятельности);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аннуитеты;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прибыль от продажи или обмена имущества, приносящего один из видов вышеуказанных доходов;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  <w:tab w:val="num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прибыль от сделок с биржевыми товарами (включая фьючерсы, форварды и аналогичные сделки), за исключением сделок, которые являются хеджирующими, при условии, что сделки с такими товарами являются основной деятельностью организации;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  <w:tab w:val="num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прибыль от операций с иностранной валютой (</w:t>
      </w:r>
      <w:proofErr w:type="gramStart"/>
      <w:r w:rsidRPr="0003706A">
        <w:rPr>
          <w:rFonts w:ascii="Times New Roman" w:hAnsi="Times New Roman"/>
          <w:sz w:val="24"/>
          <w:szCs w:val="24"/>
          <w:lang w:eastAsia="ru-RU"/>
        </w:rPr>
        <w:t>положительные</w:t>
      </w:r>
      <w:proofErr w:type="gram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или отрицательные курсовые разницы);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 xml:space="preserve">контракты, стоимость которых привязана к базовому активу (номиналу), например, </w:t>
      </w:r>
      <w:proofErr w:type="spellStart"/>
      <w:r w:rsidRPr="0003706A">
        <w:rPr>
          <w:rFonts w:ascii="Times New Roman" w:hAnsi="Times New Roman"/>
          <w:sz w:val="24"/>
          <w:szCs w:val="24"/>
          <w:lang w:eastAsia="ru-RU"/>
        </w:rPr>
        <w:t>деривативы</w:t>
      </w:r>
      <w:proofErr w:type="spellEnd"/>
      <w:r w:rsidRPr="0003706A">
        <w:rPr>
          <w:rFonts w:ascii="Times New Roman" w:hAnsi="Times New Roman"/>
          <w:sz w:val="24"/>
          <w:szCs w:val="24"/>
          <w:lang w:eastAsia="ru-RU"/>
        </w:rPr>
        <w:t xml:space="preserve"> (валютный СВОП, процентный СВОП, опционы и другие);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выкупная сумма по договору страхования или сумма займа, обеспеченная договором страхования;</w:t>
      </w:r>
    </w:p>
    <w:p w:rsidR="00901AE5" w:rsidRPr="0003706A" w:rsidRDefault="00901AE5" w:rsidP="00901AE5">
      <w:pPr>
        <w:pStyle w:val="a5"/>
        <w:numPr>
          <w:ilvl w:val="0"/>
          <w:numId w:val="1"/>
        </w:numPr>
        <w:tabs>
          <w:tab w:val="clear" w:pos="1860"/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03706A">
        <w:rPr>
          <w:rFonts w:ascii="Times New Roman" w:hAnsi="Times New Roman"/>
          <w:sz w:val="24"/>
          <w:szCs w:val="24"/>
          <w:lang w:eastAsia="ru-RU"/>
        </w:rPr>
        <w:t>суммы, полученные страховой компанией за счет резервов на осуществление страховой деятельности и аннуитетов.</w:t>
      </w:r>
    </w:p>
    <w:p w:rsidR="00901AE5" w:rsidRPr="0003706A" w:rsidRDefault="00901AE5" w:rsidP="00901AE5">
      <w:pPr>
        <w:ind w:firstLine="708"/>
        <w:contextualSpacing/>
        <w:jc w:val="both"/>
        <w:rPr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901AE5" w:rsidRPr="0003706A" w:rsidRDefault="00901AE5" w:rsidP="00901AE5">
      <w:pPr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:rsidR="0034514B" w:rsidRPr="00901AE5" w:rsidRDefault="0034514B">
      <w:pPr>
        <w:rPr>
          <w:lang w:val="en-US"/>
        </w:rPr>
      </w:pPr>
    </w:p>
    <w:sectPr w:rsidR="0034514B" w:rsidRPr="00901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BF3C78"/>
    <w:multiLevelType w:val="multilevel"/>
    <w:tmpl w:val="32E27DBA"/>
    <w:lvl w:ilvl="0">
      <w:start w:val="4"/>
      <w:numFmt w:val="decimal"/>
      <w:lvlText w:val="%1."/>
      <w:lvlJc w:val="left"/>
      <w:pPr>
        <w:tabs>
          <w:tab w:val="num" w:pos="1860"/>
        </w:tabs>
        <w:ind w:left="186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15"/>
        </w:tabs>
        <w:ind w:left="915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110"/>
        </w:tabs>
        <w:ind w:left="11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65"/>
        </w:tabs>
        <w:ind w:left="16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15"/>
        </w:tabs>
        <w:ind w:left="24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10"/>
        </w:tabs>
        <w:ind w:left="26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165"/>
        </w:tabs>
        <w:ind w:left="31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1">
    <w:nsid w:val="595E2CC5"/>
    <w:multiLevelType w:val="multilevel"/>
    <w:tmpl w:val="7568A598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2">
    <w:nsid w:val="6F624EF7"/>
    <w:multiLevelType w:val="multilevel"/>
    <w:tmpl w:val="4D5414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AE5"/>
    <w:rsid w:val="0034514B"/>
    <w:rsid w:val="00901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01AE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4">
    <w:name w:val="Основной текст Знак"/>
    <w:basedOn w:val="a0"/>
    <w:link w:val="a3"/>
    <w:rsid w:val="00901AE5"/>
    <w:rPr>
      <w:rFonts w:ascii="Times New Roman" w:eastAsia="Times New Roman" w:hAnsi="Times New Roman" w:cs="Times New Roman"/>
      <w:b/>
      <w:sz w:val="32"/>
      <w:szCs w:val="20"/>
    </w:rPr>
  </w:style>
  <w:style w:type="paragraph" w:styleId="2">
    <w:name w:val="Body Text 2"/>
    <w:basedOn w:val="a"/>
    <w:link w:val="20"/>
    <w:rsid w:val="00901AE5"/>
    <w:pPr>
      <w:spacing w:after="0" w:line="240" w:lineRule="auto"/>
    </w:pPr>
    <w:rPr>
      <w:rFonts w:ascii="Times New Roman" w:eastAsia="Times New Roman" w:hAnsi="Times New Roman" w:cs="Times New Roman"/>
      <w:i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01AE5"/>
    <w:rPr>
      <w:rFonts w:ascii="Times New Roman" w:eastAsia="Times New Roman" w:hAnsi="Times New Roman" w:cs="Times New Roman"/>
      <w:i/>
      <w:sz w:val="28"/>
      <w:szCs w:val="20"/>
    </w:rPr>
  </w:style>
  <w:style w:type="paragraph" w:styleId="a5">
    <w:name w:val="List Paragraph"/>
    <w:basedOn w:val="a"/>
    <w:uiPriority w:val="99"/>
    <w:qFormat/>
    <w:rsid w:val="00901AE5"/>
    <w:pPr>
      <w:ind w:left="720"/>
      <w:contextualSpacing/>
    </w:pPr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1578</Words>
  <Characters>8997</Characters>
  <Application>Microsoft Office Word</Application>
  <DocSecurity>0</DocSecurity>
  <Lines>74</Lines>
  <Paragraphs>21</Paragraphs>
  <ScaleCrop>false</ScaleCrop>
  <Company/>
  <LinksUpToDate>false</LinksUpToDate>
  <CharactersWithSpaces>10554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s.zhogoleva</dc:creator>
  <cp:keywords/>
  <dc:description/>
  <cp:lastModifiedBy>s.zhogoleva</cp:lastModifiedBy>
  <cp:revision>2</cp:revision>
  <dcterms:created xsi:type="dcterms:W3CDTF">2015-04-10T06:13:00Z</dcterms:created>
  <dcterms:modified xsi:type="dcterms:W3CDTF">2015-04-10T06:14:00Z</dcterms:modified>
</cp:coreProperties>
</file>