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74" w:rsidRPr="006C6574" w:rsidRDefault="006C6574" w:rsidP="006C6574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333333"/>
          <w:sz w:val="24"/>
          <w:szCs w:val="24"/>
          <w:lang w:val="en-US" w:eastAsia="ru-RU"/>
        </w:rPr>
      </w:pPr>
      <w:r w:rsidRPr="006C6574">
        <w:rPr>
          <w:rFonts w:ascii="Calibri" w:eastAsia="Times New Roman" w:hAnsi="Calibri" w:cs="Times New Roman"/>
          <w:color w:val="333333"/>
          <w:sz w:val="24"/>
          <w:szCs w:val="24"/>
          <w:lang w:val="en-US" w:eastAsia="ru-RU"/>
        </w:rPr>
        <w:fldChar w:fldCharType="begin"/>
      </w:r>
      <w:r w:rsidRPr="006C6574">
        <w:rPr>
          <w:rFonts w:ascii="Calibri" w:eastAsia="Times New Roman" w:hAnsi="Calibri" w:cs="Times New Roman"/>
          <w:color w:val="333333"/>
          <w:sz w:val="24"/>
          <w:szCs w:val="24"/>
          <w:lang w:val="en-US" w:eastAsia="ru-RU"/>
        </w:rPr>
        <w:instrText xml:space="preserve"> HYPERLINK "http://www.perevod-korona.com/Pages/Transfer.aspx" </w:instrText>
      </w:r>
      <w:r w:rsidRPr="006C6574">
        <w:rPr>
          <w:rFonts w:ascii="Calibri" w:eastAsia="Times New Roman" w:hAnsi="Calibri" w:cs="Times New Roman"/>
          <w:color w:val="333333"/>
          <w:sz w:val="24"/>
          <w:szCs w:val="24"/>
          <w:lang w:val="en-US" w:eastAsia="ru-RU"/>
        </w:rPr>
        <w:fldChar w:fldCharType="separate"/>
      </w:r>
      <w:r w:rsidRPr="006C6574">
        <w:rPr>
          <w:rStyle w:val="a5"/>
          <w:rFonts w:ascii="Calibri" w:eastAsia="Times New Roman" w:hAnsi="Calibri" w:cs="Times New Roman"/>
          <w:sz w:val="24"/>
          <w:szCs w:val="24"/>
          <w:lang w:val="en-US" w:eastAsia="ru-RU"/>
        </w:rPr>
        <w:t>http://www.perevod-korona.com/Pages/Transfer.aspx</w:t>
      </w:r>
      <w:r w:rsidRPr="006C6574">
        <w:rPr>
          <w:rFonts w:ascii="Calibri" w:eastAsia="Times New Roman" w:hAnsi="Calibri" w:cs="Times New Roman"/>
          <w:color w:val="333333"/>
          <w:sz w:val="24"/>
          <w:szCs w:val="24"/>
          <w:lang w:val="en-US" w:eastAsia="ru-RU"/>
        </w:rPr>
        <w:fldChar w:fldCharType="end"/>
      </w:r>
      <w:r w:rsidRPr="006C6574">
        <w:rPr>
          <w:rFonts w:ascii="Calibri" w:eastAsia="Times New Roman" w:hAnsi="Calibri" w:cs="Times New Roman"/>
          <w:color w:val="333333"/>
          <w:sz w:val="24"/>
          <w:szCs w:val="24"/>
          <w:lang w:val="en-US" w:eastAsia="ru-RU"/>
        </w:rPr>
        <w:t xml:space="preserve"> </w:t>
      </w:r>
    </w:p>
    <w:p w:rsidR="006C6574" w:rsidRPr="006C6574" w:rsidRDefault="006C6574" w:rsidP="006C6574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333333"/>
          <w:sz w:val="42"/>
          <w:szCs w:val="42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42"/>
          <w:szCs w:val="42"/>
          <w:lang w:eastAsia="ru-RU"/>
        </w:rPr>
        <w:t>Тарифы Платежного Сервиса «Золотая Корона – Денежные переводы»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vanish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vanish/>
          <w:color w:val="333333"/>
          <w:sz w:val="23"/>
          <w:szCs w:val="23"/>
          <w:lang w:eastAsia="ru-RU"/>
        </w:rPr>
        <w:t>Контент страницы</w:t>
      </w:r>
    </w:p>
    <w:p w:rsidR="006C6574" w:rsidRPr="006C6574" w:rsidRDefault="006C6574" w:rsidP="006C6574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333333"/>
          <w:sz w:val="30"/>
          <w:szCs w:val="30"/>
          <w:lang w:eastAsia="ru-RU"/>
        </w:rPr>
      </w:pPr>
      <w:r w:rsidRPr="006C6574">
        <w:rPr>
          <w:rFonts w:ascii="Calibri" w:eastAsia="Times New Roman" w:hAnsi="Calibri" w:cs="Times New Roman"/>
          <w:b/>
          <w:bCs/>
          <w:color w:val="333333"/>
          <w:sz w:val="30"/>
          <w:szCs w:val="30"/>
          <w:lang w:eastAsia="ru-RU"/>
        </w:rPr>
        <w:t>Тарифы в банках России</w:t>
      </w:r>
    </w:p>
    <w:tbl>
      <w:tblPr>
        <w:tblW w:w="8976" w:type="dxa"/>
        <w:jc w:val="center"/>
        <w:tblCellSpacing w:w="0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3686"/>
        <w:gridCol w:w="3544"/>
      </w:tblGrid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Направления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</w:t>
            </w:r>
            <w:r w:rsidRPr="006C6574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ru-RU"/>
              </w:rPr>
              <w:t>лата за перевод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независимо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1%, но не более 1000 рублей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Абхазия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менее 50 000 рублей, 2 000 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ru-RU"/>
              </w:rPr>
              <w:t>$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от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0,5%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менее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от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0,5%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Беларусь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независимо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  <w:bookmarkStart w:id="0" w:name="_GoBack"/>
        <w:bookmarkEnd w:id="0"/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Великобритани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Вьетна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менее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2 000 $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10 $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2 000 $ до 5 000 $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15 $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5 000 $ до 10 000 $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20 $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Греци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независимо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Грузия</w:t>
            </w:r>
          </w:p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менее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0,5%,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более 1 000 рублей, 30 $, 30 €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Израил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Казахста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1%,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более 750 рублей, 25 $, 25 €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Китай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25 $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Кыргызстан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менее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0,5%,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более 750 рублей, 25 $, 25 €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Латви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Молдова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менее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0,5%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Монголи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Непал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менее 500 $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5 $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500 $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Таджикиста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1,5%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Турция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менее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200 $,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3 $, 3 €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более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200 $,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1,5%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Узбекиста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1,5%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 w:val="restar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Украина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менее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vMerge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vAlign w:val="center"/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от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50 000 рублей, 2 000 $, 1 200 €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0,5%,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более 1 000 рублей, 30 $, 30 €</w:t>
            </w:r>
          </w:p>
        </w:tc>
      </w:tr>
      <w:tr w:rsidR="006C6574" w:rsidRPr="006C6574" w:rsidTr="006C6574">
        <w:trPr>
          <w:tblCellSpacing w:w="0" w:type="dxa"/>
          <w:jc w:val="center"/>
        </w:trPr>
        <w:tc>
          <w:tcPr>
            <w:tcW w:w="17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Чехи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Verdana"/>
                <w:color w:val="333333"/>
                <w:sz w:val="16"/>
                <w:szCs w:val="16"/>
                <w:lang w:eastAsia="ru-RU"/>
              </w:rPr>
              <w:t>независимо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 xml:space="preserve"> от суммы</w:t>
            </w:r>
          </w:p>
        </w:tc>
        <w:tc>
          <w:tcPr>
            <w:tcW w:w="35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C6574" w:rsidRPr="006C6574" w:rsidRDefault="006C6574" w:rsidP="006C657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</w:pPr>
            <w:r w:rsidRPr="006C65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​</w:t>
            </w:r>
            <w:r w:rsidRPr="006C657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ru-RU"/>
              </w:rPr>
              <w:t>1%</w:t>
            </w:r>
          </w:p>
        </w:tc>
      </w:tr>
    </w:tbl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ru-RU"/>
        </w:rPr>
        <w:t>Ограничения на осуществление переводов физических лиц без открытия счета: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1.</w:t>
      </w:r>
      <w:r w:rsidRPr="006C65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Максимальная сумма одного перевода составляет 600 000 рублей, 20 000 долларов США, 15 000 евро.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2.</w:t>
      </w:r>
      <w:r w:rsidRPr="006C65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Максимальная сумма перевода в Китай составляет 20 000 долларов США.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3.</w:t>
      </w:r>
      <w:r w:rsidRPr="006C65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Максимальная сумма переводов, </w:t>
      </w:r>
      <w:proofErr w:type="spellStart"/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отправляемы</w:t>
      </w:r>
      <w:proofErr w:type="gramStart"/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x</w:t>
      </w:r>
      <w:proofErr w:type="spellEnd"/>
      <w:proofErr w:type="gramEnd"/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резидентом РФ за рубеж в течение одного банковского дня, составляет 5 000 долларов США (или эквивалентную сумму в другой валюте). Расчет эквивалента осуществляется по курсу Банка России на дату отправку перевода.</w:t>
      </w:r>
    </w:p>
    <w:p w:rsidR="006C6574" w:rsidRPr="006C6574" w:rsidRDefault="006C6574" w:rsidP="006C657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4.</w:t>
      </w:r>
      <w:r w:rsidRPr="006C65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Максимальная сумма переводов, предназначенных для получения на территории Республики Абхазия, в течение одного дня составляет 100 000 рублей (или эквивалентную сумму в другой валюте). Расчет эквивалента осуществляется по курсу Банка России на дату отправки перевода.</w:t>
      </w:r>
    </w:p>
    <w:p w:rsidR="006C6574" w:rsidRPr="006C6574" w:rsidRDefault="006C6574" w:rsidP="006C657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lastRenderedPageBreak/>
        <w:t>5.</w:t>
      </w:r>
      <w:r w:rsidRPr="006C65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Максимальная сумма одного перевода, предназначенного для получения на территории Турецкой Республики, составляет 10 000 долларов США.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6.</w:t>
      </w:r>
      <w:r w:rsidRPr="006C657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Иные ограничения определяются правилами сервиса «Золотая Корона – Денежные переводы» и законодательством стран, на территории которых доступна услуга Сервиса.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Обращаем ваше внимание, что указаны рекомендуемые Сервисом тарифы. В </w:t>
      </w:r>
      <w:proofErr w:type="gramStart"/>
      <w:r w:rsidRPr="006C6574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пунктах</w:t>
      </w:r>
      <w:proofErr w:type="gramEnd"/>
      <w:r w:rsidRPr="006C6574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некоторых банков-партнеров и торговых сетей могут действовать другие тарифы, перед отправкой рекомендуем уточнять размер комиссии в выбранном пункте отправки.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Оператор Платежной системы «Золотая Корона» – РНКО «Платежный Центр» (ООО), рег. номер 0012 от 20.12.2012 г., лицензия ЦБ РФ № 3166-К от 14.04.2014 г. </w:t>
      </w:r>
    </w:p>
    <w:p w:rsidR="006C6574" w:rsidRPr="006C6574" w:rsidRDefault="006C6574" w:rsidP="006C6574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С полным списком организаций, предоставляющих услугу денежных переводов в Сервисе «Золотая Корона – Денежные переводы», можно ознакомиться на сайте </w:t>
      </w:r>
      <w:hyperlink r:id="rId5" w:history="1">
        <w:r w:rsidRPr="006C6574">
          <w:rPr>
            <w:rFonts w:ascii="Calibri" w:eastAsia="Times New Roman" w:hAnsi="Calibri" w:cs="Times New Roman"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www.perevod-korona.com</w:t>
        </w:r>
      </w:hyperlink>
    </w:p>
    <w:p w:rsidR="006C6574" w:rsidRPr="006C6574" w:rsidRDefault="006C6574" w:rsidP="006C6574">
      <w:pPr>
        <w:spacing w:after="9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C6574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​</w:t>
      </w:r>
    </w:p>
    <w:p w:rsidR="000B2A9A" w:rsidRDefault="006C6574"/>
    <w:sectPr w:rsidR="000B2A9A" w:rsidSect="006C657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F"/>
    <w:rsid w:val="002B304B"/>
    <w:rsid w:val="003C3F49"/>
    <w:rsid w:val="006C6574"/>
    <w:rsid w:val="0071163F"/>
    <w:rsid w:val="007613BB"/>
    <w:rsid w:val="00A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74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6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574"/>
    <w:rPr>
      <w:b/>
      <w:bCs/>
    </w:rPr>
  </w:style>
  <w:style w:type="character" w:styleId="a5">
    <w:name w:val="Hyperlink"/>
    <w:basedOn w:val="a0"/>
    <w:uiPriority w:val="99"/>
    <w:unhideWhenUsed/>
    <w:rsid w:val="006C6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74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6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574"/>
    <w:rPr>
      <w:b/>
      <w:bCs/>
    </w:rPr>
  </w:style>
  <w:style w:type="character" w:styleId="a5">
    <w:name w:val="Hyperlink"/>
    <w:basedOn w:val="a0"/>
    <w:uiPriority w:val="99"/>
    <w:unhideWhenUsed/>
    <w:rsid w:val="006C6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3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7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3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2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evod-koro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Черноперова Галина Андреевна</dc:creator>
  <cp:keywords/>
  <dc:description/>
  <cp:lastModifiedBy>Черноперова Галина Андреевна</cp:lastModifiedBy>
  <cp:revision>2</cp:revision>
  <dcterms:created xsi:type="dcterms:W3CDTF">2015-07-21T07:22:00Z</dcterms:created>
  <dcterms:modified xsi:type="dcterms:W3CDTF">2015-07-21T07:23:00Z</dcterms:modified>
</cp:coreProperties>
</file>