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5B555B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8A321A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981DA7">
        <w:rPr>
          <w:b/>
          <w:sz w:val="20"/>
          <w:szCs w:val="20"/>
        </w:rPr>
        <w:t xml:space="preserve">Новый год с </w:t>
      </w:r>
      <w:proofErr w:type="gramStart"/>
      <w:r w:rsidR="00981DA7">
        <w:rPr>
          <w:b/>
          <w:sz w:val="20"/>
          <w:szCs w:val="20"/>
        </w:rPr>
        <w:t>Камским</w:t>
      </w:r>
      <w:proofErr w:type="gramEnd"/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AF0B9D" w:rsidRDefault="008276D7" w:rsidP="008276D7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C52A6F" w:rsidRPr="00D646EB" w:rsidRDefault="00C52A6F" w:rsidP="00C52A6F">
      <w:pPr>
        <w:ind w:left="720"/>
        <w:jc w:val="center"/>
        <w:rPr>
          <w:b/>
          <w:bCs/>
          <w:sz w:val="18"/>
          <w:szCs w:val="18"/>
        </w:rPr>
      </w:pP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8F6295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AF0B9D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C52A6F" w:rsidRPr="00D646EB" w:rsidRDefault="00C52A6F" w:rsidP="00D646EB">
      <w:pPr>
        <w:ind w:firstLine="720"/>
        <w:jc w:val="center"/>
        <w:rPr>
          <w:b/>
          <w:bCs/>
          <w:sz w:val="18"/>
          <w:szCs w:val="18"/>
        </w:rPr>
      </w:pPr>
    </w:p>
    <w:p w:rsidR="007F713C" w:rsidRPr="00915535" w:rsidRDefault="007F713C" w:rsidP="007F713C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5F77E1" w:rsidRPr="00981DA7" w:rsidRDefault="00BD2AAE" w:rsidP="008A321A">
      <w:pPr>
        <w:spacing w:line="170" w:lineRule="atLeast"/>
        <w:ind w:firstLine="720"/>
        <w:jc w:val="both"/>
        <w:rPr>
          <w:sz w:val="16"/>
          <w:szCs w:val="16"/>
        </w:rPr>
      </w:pPr>
      <w:proofErr w:type="gramStart"/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 xml:space="preserve">кладчиком </w:t>
      </w:r>
      <w:r w:rsidR="008F6295">
        <w:rPr>
          <w:sz w:val="16"/>
          <w:szCs w:val="16"/>
        </w:rPr>
        <w:t>или Представителем Вкладчика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>%» для  з</w:t>
      </w:r>
      <w:r w:rsidR="00981DA7">
        <w:rPr>
          <w:sz w:val="16"/>
          <w:szCs w:val="16"/>
        </w:rPr>
        <w:t xml:space="preserve">ачисления  процентов по вкладу, либо текущий счет для зачисления процентов на карту Платежной системы Мир, </w:t>
      </w:r>
      <w:r w:rsidR="00981DA7">
        <w:rPr>
          <w:sz w:val="16"/>
          <w:szCs w:val="16"/>
          <w:lang w:val="en-US"/>
        </w:rPr>
        <w:t>MasterCard</w:t>
      </w:r>
      <w:r w:rsidR="00981DA7">
        <w:rPr>
          <w:sz w:val="16"/>
          <w:szCs w:val="16"/>
        </w:rPr>
        <w:t>, (в зависимости от пожелания клиента о зачислении процентов на вкладной счет, или текущий счет), подключения</w:t>
      </w:r>
      <w:proofErr w:type="gramEnd"/>
      <w:r w:rsidR="00981DA7">
        <w:rPr>
          <w:sz w:val="16"/>
          <w:szCs w:val="16"/>
        </w:rPr>
        <w:t xml:space="preserve"> услуги Интернет банкинг к карточному счету, </w:t>
      </w:r>
      <w:proofErr w:type="gramStart"/>
      <w:r w:rsidR="00981DA7">
        <w:rPr>
          <w:sz w:val="16"/>
          <w:szCs w:val="16"/>
        </w:rPr>
        <w:t>согласно заявления</w:t>
      </w:r>
      <w:proofErr w:type="gramEnd"/>
      <w:r w:rsidR="00981DA7">
        <w:rPr>
          <w:sz w:val="16"/>
          <w:szCs w:val="16"/>
        </w:rPr>
        <w:t xml:space="preserve"> клиента.</w:t>
      </w:r>
    </w:p>
    <w:p w:rsidR="00AF0B9D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981DA7">
        <w:rPr>
          <w:sz w:val="16"/>
          <w:szCs w:val="16"/>
        </w:rPr>
        <w:t>Д</w:t>
      </w:r>
      <w:r w:rsidR="008A321A">
        <w:rPr>
          <w:sz w:val="16"/>
          <w:szCs w:val="16"/>
        </w:rPr>
        <w:t>ополнительные вложения</w:t>
      </w:r>
      <w:r w:rsidR="00981DA7">
        <w:rPr>
          <w:sz w:val="16"/>
          <w:szCs w:val="16"/>
        </w:rPr>
        <w:t xml:space="preserve"> не предусмотрены.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8F6295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8F6295">
        <w:rPr>
          <w:sz w:val="16"/>
          <w:szCs w:val="16"/>
        </w:rPr>
        <w:t>кладчика)</w:t>
      </w:r>
      <w:r w:rsidRPr="00E12634">
        <w:rPr>
          <w:sz w:val="16"/>
          <w:szCs w:val="16"/>
        </w:rPr>
        <w:t xml:space="preserve">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D93182" w:rsidRPr="00915535" w:rsidRDefault="00D93182" w:rsidP="008A321A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 w:rsidR="00C206BF">
        <w:rPr>
          <w:sz w:val="16"/>
          <w:szCs w:val="16"/>
        </w:rPr>
        <w:t xml:space="preserve">без капитализации выплачиваются вкладчику </w:t>
      </w:r>
      <w:r w:rsidR="00D945DA">
        <w:rPr>
          <w:sz w:val="16"/>
          <w:szCs w:val="16"/>
        </w:rPr>
        <w:t xml:space="preserve">ежемесячно </w:t>
      </w:r>
      <w:r w:rsidR="00EE3F54">
        <w:rPr>
          <w:sz w:val="16"/>
          <w:szCs w:val="16"/>
        </w:rPr>
        <w:t xml:space="preserve"> </w:t>
      </w:r>
      <w:r w:rsidR="00C206BF">
        <w:rPr>
          <w:sz w:val="16"/>
          <w:szCs w:val="16"/>
        </w:rPr>
        <w:t>путем зачисления на дополнительный лицевой счет Вкладчика по вкладу «Универсальны</w:t>
      </w:r>
      <w:proofErr w:type="gramStart"/>
      <w:r w:rsidR="00C206BF">
        <w:rPr>
          <w:sz w:val="16"/>
          <w:szCs w:val="16"/>
        </w:rPr>
        <w:t>й-</w:t>
      </w:r>
      <w:proofErr w:type="gramEnd"/>
      <w:r w:rsidR="00C206BF">
        <w:rPr>
          <w:sz w:val="16"/>
          <w:szCs w:val="16"/>
        </w:rPr>
        <w:t xml:space="preserve">%» </w:t>
      </w:r>
      <w:r>
        <w:rPr>
          <w:sz w:val="16"/>
          <w:szCs w:val="16"/>
        </w:rPr>
        <w:t>(без офо</w:t>
      </w:r>
      <w:r w:rsidR="00981DA7">
        <w:rPr>
          <w:sz w:val="16"/>
          <w:szCs w:val="16"/>
        </w:rPr>
        <w:t>рмления второй вкладной книжки), либо на текущий счет.</w:t>
      </w:r>
    </w:p>
    <w:p w:rsidR="00B64426" w:rsidRDefault="00B64426" w:rsidP="00B64426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C62DCE"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 w:rsidR="00D55095">
        <w:rPr>
          <w:sz w:val="16"/>
          <w:szCs w:val="16"/>
        </w:rPr>
        <w:t>Универсальный</w:t>
      </w:r>
      <w:proofErr w:type="gramStart"/>
      <w:r w:rsidR="00D550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- %»,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 w:rsidR="0016268D"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546173" w:rsidRDefault="00546173" w:rsidP="00B64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При досрочном  снятии денежных сре</w:t>
      </w:r>
      <w:proofErr w:type="gramStart"/>
      <w:r>
        <w:rPr>
          <w:sz w:val="16"/>
          <w:szCs w:val="16"/>
        </w:rPr>
        <w:t>дств с</w:t>
      </w:r>
      <w:r w:rsidR="0010555E" w:rsidRPr="001055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вкл</w:t>
      </w:r>
      <w:proofErr w:type="gramEnd"/>
      <w:r>
        <w:rPr>
          <w:sz w:val="16"/>
          <w:szCs w:val="16"/>
        </w:rPr>
        <w:t xml:space="preserve">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 w:rsidR="00C85BF6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При возврате суммы вклада полностью или частично по требованию Вкладчика</w:t>
      </w:r>
      <w:r w:rsidR="008F6295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до истечения срока вклада проценты по вкладу выплачиваются в следующем порядке: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 w:rsidR="00BA446A"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</w:t>
      </w:r>
      <w:r w:rsidR="008F62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Вкладчика</w:t>
      </w:r>
      <w:r w:rsidR="008F6295">
        <w:rPr>
          <w:sz w:val="16"/>
          <w:szCs w:val="16"/>
        </w:rPr>
        <w:t xml:space="preserve"> или Представителя </w:t>
      </w:r>
      <w:proofErr w:type="gramStart"/>
      <w:r w:rsidR="008F629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 Вкладчику</w:t>
      </w:r>
      <w:r w:rsidR="008F6295">
        <w:rPr>
          <w:sz w:val="16"/>
          <w:szCs w:val="16"/>
        </w:rPr>
        <w:t xml:space="preserve"> или Представителю Вкладчика</w:t>
      </w:r>
      <w:r w:rsidRPr="00915535">
        <w:rPr>
          <w:sz w:val="16"/>
          <w:szCs w:val="16"/>
        </w:rPr>
        <w:t xml:space="preserve">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Оставшаяся часть  вклада вместе с начисленными процентами может быть по желанию Вкладчика</w:t>
      </w:r>
      <w:r w:rsidR="008F6295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либо выдана, либо переоформлена на любой другой вид вклада,  действующий в Банке на  момент переоформления. </w:t>
      </w:r>
    </w:p>
    <w:p w:rsidR="00720F58" w:rsidRPr="00915535" w:rsidRDefault="00720F58" w:rsidP="00720F5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0C1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2.8. Порядок работы по вкладу «</w:t>
      </w:r>
      <w:r>
        <w:rPr>
          <w:b w:val="0"/>
          <w:sz w:val="16"/>
          <w:szCs w:val="16"/>
        </w:rPr>
        <w:t>Универсальный</w:t>
      </w:r>
      <w:r w:rsidRPr="00915535">
        <w:rPr>
          <w:b w:val="0"/>
          <w:sz w:val="16"/>
          <w:szCs w:val="16"/>
        </w:rPr>
        <w:t xml:space="preserve"> - %» регулируется  Положением по данному виду вклада и настоящим договором, о</w:t>
      </w:r>
      <w:r w:rsidRPr="00915535">
        <w:rPr>
          <w:b w:val="0"/>
          <w:color w:val="000000"/>
          <w:sz w:val="16"/>
          <w:szCs w:val="16"/>
        </w:rPr>
        <w:t>тдельный договор по вкладу «</w:t>
      </w:r>
      <w:r>
        <w:rPr>
          <w:b w:val="0"/>
          <w:color w:val="000000"/>
          <w:sz w:val="16"/>
          <w:szCs w:val="16"/>
        </w:rPr>
        <w:t>Универсальны</w:t>
      </w:r>
      <w:proofErr w:type="gramStart"/>
      <w:r>
        <w:rPr>
          <w:b w:val="0"/>
          <w:color w:val="000000"/>
          <w:sz w:val="16"/>
          <w:szCs w:val="16"/>
        </w:rPr>
        <w:t>й</w:t>
      </w:r>
      <w:r w:rsidRPr="00915535">
        <w:rPr>
          <w:b w:val="0"/>
          <w:color w:val="000000"/>
          <w:sz w:val="16"/>
          <w:szCs w:val="16"/>
        </w:rPr>
        <w:t>-</w:t>
      </w:r>
      <w:proofErr w:type="gramEnd"/>
      <w:r w:rsidRPr="00915535">
        <w:rPr>
          <w:b w:val="0"/>
          <w:color w:val="000000"/>
          <w:sz w:val="16"/>
          <w:szCs w:val="16"/>
        </w:rPr>
        <w:t>%» не заключается.</w:t>
      </w:r>
    </w:p>
    <w:p w:rsidR="00720F58" w:rsidRPr="00915535" w:rsidRDefault="00720F58" w:rsidP="00720F58">
      <w:pPr>
        <w:ind w:right="-185"/>
        <w:jc w:val="both"/>
        <w:rPr>
          <w:color w:val="000000"/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883A2E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 Проценты  по вкладу «</w:t>
      </w:r>
      <w:r>
        <w:rPr>
          <w:sz w:val="16"/>
          <w:szCs w:val="16"/>
        </w:rPr>
        <w:t xml:space="preserve">Универсальный </w:t>
      </w:r>
      <w:r w:rsidRPr="00915535">
        <w:rPr>
          <w:sz w:val="16"/>
          <w:szCs w:val="16"/>
        </w:rPr>
        <w:t xml:space="preserve">-%» начисляются в соответствии с порядком, установленным ЦБ РФ, и причисляются к вкладу ежеквартально в последний рабочий день месяца каждого квартала, независимо от даты внесения вклада. В случае не востребования </w:t>
      </w:r>
      <w:r w:rsidRPr="00915535">
        <w:rPr>
          <w:color w:val="000000"/>
          <w:sz w:val="16"/>
          <w:szCs w:val="16"/>
        </w:rPr>
        <w:t xml:space="preserve"> процентных сумм, последние добавляются к сумме вклада, и дальнейшее начисление процентов производится на общую сумму, состоящую из вклада и ранее причисленных процентов.  При закрытии счета по вкладу «</w:t>
      </w:r>
      <w:r>
        <w:rPr>
          <w:color w:val="000000"/>
          <w:sz w:val="16"/>
          <w:szCs w:val="16"/>
        </w:rPr>
        <w:t>Универсальны</w:t>
      </w:r>
      <w:proofErr w:type="gramStart"/>
      <w:r>
        <w:rPr>
          <w:color w:val="000000"/>
          <w:sz w:val="16"/>
          <w:szCs w:val="16"/>
        </w:rPr>
        <w:t>й</w:t>
      </w:r>
      <w:r w:rsidRPr="00915535">
        <w:rPr>
          <w:color w:val="000000"/>
          <w:sz w:val="16"/>
          <w:szCs w:val="16"/>
        </w:rPr>
        <w:t>-</w:t>
      </w:r>
      <w:proofErr w:type="gramEnd"/>
      <w:r w:rsidRPr="00915535">
        <w:rPr>
          <w:color w:val="000000"/>
          <w:sz w:val="16"/>
          <w:szCs w:val="16"/>
        </w:rPr>
        <w:t>%» проценты по вкладу начисляются за фактические дни пользования исходя из процентной  ставки  по данному виду вклада.</w:t>
      </w:r>
    </w:p>
    <w:p w:rsidR="00512CA9" w:rsidRDefault="003B6803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 w:rsidRPr="00915535">
        <w:rPr>
          <w:b w:val="0"/>
          <w:sz w:val="16"/>
          <w:szCs w:val="16"/>
        </w:rPr>
        <w:t xml:space="preserve">                      </w:t>
      </w:r>
      <w:r w:rsidR="009C7BB8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</w:t>
      </w:r>
      <w:r w:rsidR="004F56AE">
        <w:rPr>
          <w:b w:val="0"/>
          <w:sz w:val="16"/>
          <w:szCs w:val="16"/>
        </w:rPr>
        <w:t xml:space="preserve">    </w:t>
      </w:r>
      <w:r w:rsidR="00D05765">
        <w:rPr>
          <w:b w:val="0"/>
          <w:sz w:val="16"/>
          <w:szCs w:val="16"/>
        </w:rPr>
        <w:t xml:space="preserve"> </w:t>
      </w:r>
      <w:r w:rsidR="00DC425F">
        <w:rPr>
          <w:b w:val="0"/>
          <w:sz w:val="16"/>
          <w:szCs w:val="16"/>
        </w:rPr>
        <w:t xml:space="preserve"> </w:t>
      </w:r>
      <w:r w:rsidR="00235D40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Pr="00915535" w:rsidRDefault="003430BE" w:rsidP="00B96F2E">
      <w:pPr>
        <w:ind w:firstLine="720"/>
        <w:jc w:val="both"/>
        <w:rPr>
          <w:sz w:val="16"/>
          <w:szCs w:val="16"/>
        </w:rPr>
      </w:pP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</w:t>
      </w:r>
      <w:r w:rsidR="00981DA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(</w:t>
      </w:r>
      <w:r w:rsidRPr="00C763F7">
        <w:rPr>
          <w:sz w:val="16"/>
          <w:szCs w:val="16"/>
          <w:lang w:val="en-US"/>
        </w:rPr>
        <w:t>www</w:t>
      </w:r>
      <w:r w:rsidR="00981DA7" w:rsidRPr="00981DA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8E0AEF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Pr="00C763F7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8F629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1746D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8A321A" w:rsidRPr="001746DA" w:rsidRDefault="008A321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AF0B9D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C52A6F" w:rsidRPr="00915535" w:rsidRDefault="00C52A6F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8F6295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8F6295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</w:t>
      </w:r>
      <w:r w:rsidR="008F6295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</w:t>
      </w:r>
      <w:r w:rsidR="008F6295">
        <w:rPr>
          <w:color w:val="000000"/>
          <w:sz w:val="16"/>
          <w:szCs w:val="16"/>
        </w:rPr>
        <w:t xml:space="preserve"> или Представителя Вкладчика</w:t>
      </w:r>
      <w:r w:rsidRPr="00FE0974">
        <w:rPr>
          <w:color w:val="000000"/>
          <w:sz w:val="16"/>
          <w:szCs w:val="16"/>
        </w:rPr>
        <w:t xml:space="preserve">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AF0B9D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8F6295" w:rsidRPr="008A321A" w:rsidRDefault="008F6295" w:rsidP="00632A60">
      <w:pPr>
        <w:ind w:right="191" w:firstLine="720"/>
        <w:jc w:val="both"/>
        <w:rPr>
          <w:sz w:val="16"/>
          <w:szCs w:val="16"/>
        </w:rPr>
      </w:pPr>
    </w:p>
    <w:p w:rsidR="001746DA" w:rsidRPr="001746DA" w:rsidRDefault="00512CA9" w:rsidP="001746DA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</w:p>
    <w:p w:rsidR="001746DA" w:rsidRPr="00C26970" w:rsidRDefault="001746DA" w:rsidP="001746DA">
      <w:pPr>
        <w:ind w:left="4050" w:right="19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5B61B5" w:rsidRDefault="00CC1493" w:rsidP="005B61B5">
      <w:pPr>
        <w:jc w:val="both"/>
        <w:rPr>
          <w:b/>
          <w:bCs/>
          <w:sz w:val="20"/>
          <w:szCs w:val="20"/>
        </w:rPr>
      </w:pPr>
      <w:r w:rsidRPr="00EA6EEA">
        <w:rPr>
          <w:b/>
          <w:bCs/>
          <w:sz w:val="16"/>
          <w:szCs w:val="16"/>
        </w:rPr>
        <w:t xml:space="preserve">                                           </w:t>
      </w: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700786" w:rsidRDefault="005B61B5" w:rsidP="005B61B5">
      <w:pPr>
        <w:tabs>
          <w:tab w:val="left" w:pos="215"/>
        </w:tabs>
        <w:rPr>
          <w:b/>
          <w:bCs/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6D5DB0" w:rsidRDefault="006D5DB0" w:rsidP="006D5DB0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6D5DB0" w:rsidRDefault="006D5DB0" w:rsidP="006D5DB0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6D5DB0" w:rsidRPr="00A82B5E" w:rsidRDefault="006D5DB0" w:rsidP="006D5DB0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</w:r>
      <w:r w:rsidRPr="00A82B5E">
        <w:rPr>
          <w:snapToGrid w:val="0"/>
          <w:sz w:val="14"/>
          <w:szCs w:val="14"/>
        </w:rPr>
        <w:tab/>
        <w:t xml:space="preserve">           </w:t>
      </w:r>
      <w:r w:rsidRPr="00A82B5E">
        <w:rPr>
          <w:snapToGrid w:val="0"/>
          <w:sz w:val="14"/>
          <w:szCs w:val="14"/>
        </w:rPr>
        <w:tab/>
        <w:t xml:space="preserve">                   </w:t>
      </w:r>
      <w:r>
        <w:rPr>
          <w:snapToGrid w:val="0"/>
          <w:sz w:val="14"/>
          <w:szCs w:val="14"/>
        </w:rPr>
        <w:t xml:space="preserve">                            Уполномоченное лицо Банка:</w:t>
      </w:r>
      <w:r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6D5DB0" w:rsidRPr="00A82B5E" w:rsidRDefault="006D5DB0" w:rsidP="006D5DB0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Pr="00E26FB0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Pr="000A560B">
        <w:rPr>
          <w:snapToGrid w:val="0"/>
          <w:sz w:val="14"/>
          <w:szCs w:val="14"/>
        </w:rPr>
        <w:t xml:space="preserve">                      </w:t>
      </w:r>
      <w:r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6D5DB0" w:rsidRDefault="006D5DB0" w:rsidP="006D5DB0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6D5DB0" w:rsidRPr="00A82B5E" w:rsidRDefault="006D5DB0" w:rsidP="006D5DB0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6D5DB0" w:rsidRDefault="006D5DB0" w:rsidP="006D5DB0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</w:t>
      </w:r>
    </w:p>
    <w:p w:rsidR="006D5DB0" w:rsidRDefault="006D5DB0" w:rsidP="006D5DB0">
      <w:pPr>
        <w:ind w:left="-284" w:right="-1050"/>
        <w:rPr>
          <w:b/>
          <w:snapToGrid w:val="0"/>
          <w:sz w:val="14"/>
          <w:szCs w:val="14"/>
        </w:rPr>
      </w:pPr>
    </w:p>
    <w:p w:rsidR="006D5DB0" w:rsidRDefault="006D5DB0" w:rsidP="006D5DB0">
      <w:pPr>
        <w:ind w:left="-284" w:right="-1050"/>
        <w:rPr>
          <w:b/>
          <w:snapToGrid w:val="0"/>
          <w:sz w:val="14"/>
          <w:szCs w:val="14"/>
        </w:rPr>
      </w:pPr>
    </w:p>
    <w:p w:rsidR="006D5DB0" w:rsidRDefault="006D5DB0" w:rsidP="006D5DB0">
      <w:pPr>
        <w:ind w:left="-284" w:right="-1050"/>
        <w:rPr>
          <w:b/>
          <w:snapToGrid w:val="0"/>
          <w:sz w:val="14"/>
          <w:szCs w:val="14"/>
        </w:rPr>
      </w:pPr>
    </w:p>
    <w:p w:rsidR="006D5DB0" w:rsidRDefault="006D5DB0" w:rsidP="006D5DB0">
      <w:pPr>
        <w:ind w:left="-284" w:right="-1050"/>
        <w:rPr>
          <w:b/>
          <w:snapToGrid w:val="0"/>
          <w:sz w:val="14"/>
          <w:szCs w:val="14"/>
        </w:rPr>
      </w:pPr>
    </w:p>
    <w:p w:rsidR="006D5DB0" w:rsidRDefault="006D5DB0" w:rsidP="006D5DB0">
      <w:pPr>
        <w:ind w:left="-284" w:right="-1050"/>
        <w:rPr>
          <w:b/>
          <w:snapToGrid w:val="0"/>
          <w:sz w:val="14"/>
          <w:szCs w:val="14"/>
        </w:rPr>
      </w:pPr>
    </w:p>
    <w:p w:rsidR="006D5DB0" w:rsidRPr="00A82B5E" w:rsidRDefault="006D5DB0" w:rsidP="006D5DB0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6D5DB0" w:rsidTr="00D55749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0" w:rsidRDefault="006D5DB0" w:rsidP="00D557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6D5DB0" w:rsidRDefault="006D5DB0" w:rsidP="00D557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6D5DB0" w:rsidTr="00D55749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B0" w:rsidRDefault="006D5DB0" w:rsidP="00D557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D5DB0" w:rsidRDefault="006D5DB0" w:rsidP="00D557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6D5DB0" w:rsidRDefault="006D5DB0" w:rsidP="00D557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30101810600000000785 в Комсомольском РКЦ г. Набережные Челны БИК  049240785 ИНН 1650025163</w:t>
            </w:r>
          </w:p>
          <w:p w:rsidR="006D5DB0" w:rsidRDefault="006D5DB0" w:rsidP="00D55749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 (8552)704594</w:t>
            </w:r>
          </w:p>
        </w:tc>
      </w:tr>
    </w:tbl>
    <w:p w:rsidR="006D5DB0" w:rsidRPr="00A82B5E" w:rsidRDefault="006D5DB0" w:rsidP="006D5DB0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</w:t>
      </w: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0911B0" w:rsidRPr="009819BA" w:rsidRDefault="000911B0" w:rsidP="005B61B5">
      <w:pPr>
        <w:jc w:val="both"/>
        <w:rPr>
          <w:b/>
          <w:bCs/>
          <w:sz w:val="20"/>
          <w:szCs w:val="20"/>
        </w:rPr>
      </w:pPr>
    </w:p>
    <w:p w:rsidR="000911B0" w:rsidRPr="009819BA" w:rsidRDefault="000911B0" w:rsidP="005B61B5">
      <w:pPr>
        <w:jc w:val="both"/>
        <w:rPr>
          <w:b/>
          <w:bCs/>
          <w:sz w:val="20"/>
          <w:szCs w:val="20"/>
        </w:rPr>
      </w:pPr>
    </w:p>
    <w:p w:rsidR="000911B0" w:rsidRPr="009819BA" w:rsidRDefault="000911B0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</w:rPr>
      </w:pPr>
      <w:bookmarkStart w:id="1" w:name="_GoBack"/>
      <w:bookmarkEnd w:id="1"/>
    </w:p>
    <w:sectPr w:rsidR="005B61B5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2F"/>
    <w:rsid w:val="00000591"/>
    <w:rsid w:val="00003072"/>
    <w:rsid w:val="00003726"/>
    <w:rsid w:val="000104F0"/>
    <w:rsid w:val="000329D4"/>
    <w:rsid w:val="00065F4C"/>
    <w:rsid w:val="00076560"/>
    <w:rsid w:val="000911B0"/>
    <w:rsid w:val="00096248"/>
    <w:rsid w:val="00097669"/>
    <w:rsid w:val="000A560B"/>
    <w:rsid w:val="000F7015"/>
    <w:rsid w:val="0010263A"/>
    <w:rsid w:val="0010555E"/>
    <w:rsid w:val="001063C4"/>
    <w:rsid w:val="00107140"/>
    <w:rsid w:val="001123CF"/>
    <w:rsid w:val="001510A7"/>
    <w:rsid w:val="00154B8D"/>
    <w:rsid w:val="00156ED4"/>
    <w:rsid w:val="0016268D"/>
    <w:rsid w:val="001746DA"/>
    <w:rsid w:val="00181BB7"/>
    <w:rsid w:val="001A74CC"/>
    <w:rsid w:val="001D5C98"/>
    <w:rsid w:val="00221AA3"/>
    <w:rsid w:val="002358DC"/>
    <w:rsid w:val="00235D40"/>
    <w:rsid w:val="0024231E"/>
    <w:rsid w:val="002704FF"/>
    <w:rsid w:val="00290073"/>
    <w:rsid w:val="00296797"/>
    <w:rsid w:val="002B05DC"/>
    <w:rsid w:val="002B4FD9"/>
    <w:rsid w:val="002D5D4C"/>
    <w:rsid w:val="00336E54"/>
    <w:rsid w:val="003430BE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413E24"/>
    <w:rsid w:val="00416A4D"/>
    <w:rsid w:val="0042317C"/>
    <w:rsid w:val="00423F25"/>
    <w:rsid w:val="004311D4"/>
    <w:rsid w:val="00445466"/>
    <w:rsid w:val="004736C3"/>
    <w:rsid w:val="00480281"/>
    <w:rsid w:val="004A4659"/>
    <w:rsid w:val="004B2853"/>
    <w:rsid w:val="004B542B"/>
    <w:rsid w:val="004E623F"/>
    <w:rsid w:val="004F56AE"/>
    <w:rsid w:val="004F7572"/>
    <w:rsid w:val="00512C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A162F"/>
    <w:rsid w:val="005B555B"/>
    <w:rsid w:val="005B61B5"/>
    <w:rsid w:val="005C1F31"/>
    <w:rsid w:val="005F77E1"/>
    <w:rsid w:val="006105CF"/>
    <w:rsid w:val="00622C92"/>
    <w:rsid w:val="00632A60"/>
    <w:rsid w:val="00636330"/>
    <w:rsid w:val="00691715"/>
    <w:rsid w:val="00692302"/>
    <w:rsid w:val="006B2ED3"/>
    <w:rsid w:val="006C6542"/>
    <w:rsid w:val="006D5DB0"/>
    <w:rsid w:val="0071353B"/>
    <w:rsid w:val="00720F58"/>
    <w:rsid w:val="00722FF1"/>
    <w:rsid w:val="007371A3"/>
    <w:rsid w:val="00772DDC"/>
    <w:rsid w:val="007826A8"/>
    <w:rsid w:val="00792157"/>
    <w:rsid w:val="007A20DC"/>
    <w:rsid w:val="007B50AF"/>
    <w:rsid w:val="007B6DD2"/>
    <w:rsid w:val="007E1872"/>
    <w:rsid w:val="007F1E5C"/>
    <w:rsid w:val="007F713C"/>
    <w:rsid w:val="00805531"/>
    <w:rsid w:val="008229D8"/>
    <w:rsid w:val="008276D7"/>
    <w:rsid w:val="00841F8E"/>
    <w:rsid w:val="00852588"/>
    <w:rsid w:val="008601A3"/>
    <w:rsid w:val="00881720"/>
    <w:rsid w:val="0088262F"/>
    <w:rsid w:val="00883A2E"/>
    <w:rsid w:val="008A321A"/>
    <w:rsid w:val="008B58F9"/>
    <w:rsid w:val="008B5CB9"/>
    <w:rsid w:val="008E0AEF"/>
    <w:rsid w:val="008F6295"/>
    <w:rsid w:val="00915535"/>
    <w:rsid w:val="00916C9F"/>
    <w:rsid w:val="00923AC8"/>
    <w:rsid w:val="00965CE6"/>
    <w:rsid w:val="00980B66"/>
    <w:rsid w:val="00980D38"/>
    <w:rsid w:val="009819BA"/>
    <w:rsid w:val="00981DA7"/>
    <w:rsid w:val="009946A1"/>
    <w:rsid w:val="009A0D2A"/>
    <w:rsid w:val="009A559C"/>
    <w:rsid w:val="009A5B90"/>
    <w:rsid w:val="009C7BB8"/>
    <w:rsid w:val="009E3B23"/>
    <w:rsid w:val="009E6C49"/>
    <w:rsid w:val="009F1765"/>
    <w:rsid w:val="009F6F7F"/>
    <w:rsid w:val="00A059FF"/>
    <w:rsid w:val="00A15500"/>
    <w:rsid w:val="00A305F0"/>
    <w:rsid w:val="00A32BC8"/>
    <w:rsid w:val="00A37D92"/>
    <w:rsid w:val="00A47D04"/>
    <w:rsid w:val="00A552CD"/>
    <w:rsid w:val="00A637C6"/>
    <w:rsid w:val="00A67A65"/>
    <w:rsid w:val="00A75500"/>
    <w:rsid w:val="00A83A8E"/>
    <w:rsid w:val="00A96F1F"/>
    <w:rsid w:val="00A9754D"/>
    <w:rsid w:val="00AB72F3"/>
    <w:rsid w:val="00AC58E4"/>
    <w:rsid w:val="00AD6429"/>
    <w:rsid w:val="00AF0B9D"/>
    <w:rsid w:val="00B01513"/>
    <w:rsid w:val="00B2710B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C709A"/>
    <w:rsid w:val="00BD2AAE"/>
    <w:rsid w:val="00C1788A"/>
    <w:rsid w:val="00C206BF"/>
    <w:rsid w:val="00C27EE7"/>
    <w:rsid w:val="00C33E9C"/>
    <w:rsid w:val="00C437F7"/>
    <w:rsid w:val="00C52A6F"/>
    <w:rsid w:val="00C56528"/>
    <w:rsid w:val="00C62DCE"/>
    <w:rsid w:val="00C763F7"/>
    <w:rsid w:val="00C85BF6"/>
    <w:rsid w:val="00C86181"/>
    <w:rsid w:val="00CC0A92"/>
    <w:rsid w:val="00CC1493"/>
    <w:rsid w:val="00CD7075"/>
    <w:rsid w:val="00CF2CE0"/>
    <w:rsid w:val="00CF3A87"/>
    <w:rsid w:val="00CF48FC"/>
    <w:rsid w:val="00D05765"/>
    <w:rsid w:val="00D10160"/>
    <w:rsid w:val="00D161B3"/>
    <w:rsid w:val="00D21A93"/>
    <w:rsid w:val="00D24145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A6A5E"/>
    <w:rsid w:val="00DC425F"/>
    <w:rsid w:val="00DC7847"/>
    <w:rsid w:val="00DD3637"/>
    <w:rsid w:val="00DE6722"/>
    <w:rsid w:val="00DF1FC9"/>
    <w:rsid w:val="00E25D15"/>
    <w:rsid w:val="00E34D4E"/>
    <w:rsid w:val="00E41734"/>
    <w:rsid w:val="00E46FF1"/>
    <w:rsid w:val="00E51549"/>
    <w:rsid w:val="00E57820"/>
    <w:rsid w:val="00E6270F"/>
    <w:rsid w:val="00E668E8"/>
    <w:rsid w:val="00E82AE6"/>
    <w:rsid w:val="00EA179C"/>
    <w:rsid w:val="00EA6EEA"/>
    <w:rsid w:val="00EC248D"/>
    <w:rsid w:val="00ED0F41"/>
    <w:rsid w:val="00EE2CFD"/>
    <w:rsid w:val="00EE3F54"/>
    <w:rsid w:val="00F12072"/>
    <w:rsid w:val="00F3031F"/>
    <w:rsid w:val="00F438F9"/>
    <w:rsid w:val="00F45C15"/>
    <w:rsid w:val="00F564A6"/>
    <w:rsid w:val="00F762B1"/>
    <w:rsid w:val="00FB242E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16647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5</cp:revision>
  <cp:lastPrinted>2014-01-20T08:01:00Z</cp:lastPrinted>
  <dcterms:created xsi:type="dcterms:W3CDTF">2018-12-18T13:14:00Z</dcterms:created>
  <dcterms:modified xsi:type="dcterms:W3CDTF">2018-12-21T09:30:00Z</dcterms:modified>
</cp:coreProperties>
</file>